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d59be203338443da"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14777</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CENTAR ZA ODGOJ I OBRAZOVANJE GOLJAK</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1.285.941,03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1.358.388,35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1.453.966,23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1.331.646,49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26.741,86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744,01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709,08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744,01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709,08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95,3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26.032,78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Višak prihoda poslovanja u izvještajnom razdoblju iznosi 26.741,86, razrada po izvorima financiranja: </w:t>
      </w:r>
    </w:p>
    <w:p>
      <w:r>
        <w:t xml:space="preserve">manjak na izvoru decentraliziranih sredstava u iznosu 10.945,18 eura (manjak nastao iz evidentiranja rashoda koji se odnose na izvještajno razdoblje, a za koje priznavanje prihoda očekujemo u sljedećem razdoblju,</w:t>
      </w:r>
    </w:p>
    <w:p>
      <w:r>
        <w:t xml:space="preserve">višak na izvoru općih prihoda i primitaka-pojačani standard u iznosu 12.632,26 eura (višak nastao iz evidentiranja prihoda u ovom izvještajnom razdoblju kada su postali i raspoloživi, uplaćeni od strane Grada Zagreba, a koji se odnose na refundacije za rashode koji su se priznali u trenutku nastanaka obveze u 2025.godini), </w:t>
      </w:r>
    </w:p>
    <w:p>
      <w:r>
        <w:t xml:space="preserve">višak na izvoru pomoći iz drugih proračuna (Državni proračun) u iznosu 29.806,78 eura (višak nastao iz financiranja na mjesečnoj bazi iz Državnog proračuna materijalnih rashoda za financiranje povećanih troškova prijevoza učenika s teškoćama u razvoju, financiranje posebnih nastavnih sredstava i pomagala, sufinanciranje prehrane za učenike s teškoćama u razvoju u osnovnoškolskim programima, sukladno Odluci o kriterijima za financiranje povećanih troškova prijevoza i posebnih nastavnih sredstava i pomagala te sufinanciranje prehrane učenika s teškoćama u razvoju u osnovnoškolskim programima,</w:t>
      </w:r>
    </w:p>
    <w:p>
      <w:r>
        <w:t xml:space="preserve">manjak na izvoru 510 Programi Unije u iznosu 2.379,00 eura iz razloga evidentiranja rashoda temeljem zaprimljenih računa, a prihodi će se priznavati tek temeljem odobrenog Završnog izvješća koje ćemo podnositi na kraju projekta,</w:t>
      </w:r>
    </w:p>
    <w:p>
      <w:r>
        <w:t xml:space="preserve">višak na izvoru vlastitih prihoda u iznosu 275,00 eura, odnosi se na poslovanje učeničke zadruge,</w:t>
      </w:r>
    </w:p>
    <w:p>
      <w:r>
        <w:t xml:space="preserve">manjak na osnovu prihoda s naslova osiguranja 2.648,00 eura, prihod s osnove osiguranja po odštetnom zahtjevu se očekuje, rashodi su priznati u trenutku nastanaka obveze.</w:t>
      </w:r>
    </w:p>
    <w:p>
      <w:r>
        <w:t xml:space="preserve">Manjak prihoda od nefinancijske imovine u izvještajnom razdoblju iznosi 709,08 eura, odnosi se na rashode za nabavu proizvedene dugotrajne imovine, manjak iskazan iz razloga što u izvještajnom razdoblju nismo ostvarili prihode od prodaje nefinancijske imovine.</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51.375,02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96.465,96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187,8</w:t>
            </w:r>
          </w:p>
        </w:tc>
      </w:tr>
    </w:tbl>
    <w:p>
      <w:pPr>
        <w:spacing w:before="0" w:after="0"/>
      </w:pPr>
    </w:p>
    <w:p>
      <w:r>
        <w:t xml:space="preserve">Evidentiranje prihoda iz nadležnog proračuna, razlika u odnosu na isto izvještajno razdoblje prethodne godine iz razloga evidentiranja sredstava koja su osigurana i isplaćuju se iz Proračuna Grada Zagreba (Zaključak Grada Zagreba, Klasa:600-01/25-01/101, Urbroj 251-01-12-25-2) za sufinanciranje usluge prilagođenog prijevoza učenika u školskoj godini 2025./2026. godini (prijevoz za posebne namjene). U izvještajnom razdoblju uplaćeni su nam prihodi za sufinanciranje prijevoza koji se odnosio na mjesec studeni 2025. godini u iznosu 6.975,00 eura, za mjesec prosinac 2025.godine u iznosu 6.587,50 eura, za mjesec siječanj 2026. godine u iznosu 5.812,50 eura, za mjesec veljaču 2026. godine u iznosu 7.750,00 eura, za mjesec ožujak 2026. godine u iznosu 7.362,50 eura, za mjesec travanj 2026. godine u iznosu 6.975,00 eura, za mjesec svibanj 2026. godine u iznosu 7.750,00 eura. U istom izvještajnom razdoblju prethodne godine navedenog sufinanciranja nije bilo.</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683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Iznos 300,00 eura, odnosi se na polog sredstava od učeničke Zadruge „Šegrt Hlapić“ koja djeluje unutar Centra. Sredstva se koriste za nabavu materijala potrebnog za izradu proizvoda s kojima se zadruga predstavlja na smotrama učeničkog zadrugarstva.</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662,50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2.494,00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376,5</w:t>
            </w:r>
          </w:p>
        </w:tc>
      </w:tr>
    </w:tbl>
    <w:p>
      <w:pPr>
        <w:spacing w:before="0" w:after="0"/>
      </w:pPr>
    </w:p>
    <w:p>
      <w:r>
        <w:t xml:space="preserve">Iznos 2.494,00 eura, povećanje u odnosu na isto izvještajno razdoblje prethodne godine iz razloga evidentiranja rashoda (2.379,00 eura) projekta u sklopu programa Erasmus +, izvor financiranja 510 (financiranje  iz dodijeljenih sredstava).</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1.606,39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&gt;&gt;100</w:t>
            </w:r>
          </w:p>
        </w:tc>
      </w:tr>
    </w:tbl>
    <w:p>
      <w:pPr>
        <w:spacing w:before="0" w:after="0"/>
      </w:pPr>
    </w:p>
    <w:p>
      <w:r>
        <w:t xml:space="preserve">Iznos 1.606,39 eura, povećanje u odnosu na isto izvještajno razdoblje prethodne godine iz razloga potrebe za nabavom novih ljetnih guma za 3 službena kombi vozila Centra u ukupnom iznosu od 1.235,16 eura. Nabava je bila potrebna radi dotrajalosti i starosti ljetnih guma, a kako se navedenim vozilima svakodnevno u školu i iz škole voze učenici s teškoćama u razvoju, posebna se pažnja posvećuje sigurnosti i održavanju službenih kombi vozila.</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telefona, interneta, pošte i prijevoza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2.800,07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40.926,31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1461,6</w:t>
            </w:r>
          </w:p>
        </w:tc>
      </w:tr>
    </w:tbl>
    <w:p>
      <w:pPr>
        <w:spacing w:before="0" w:after="0"/>
      </w:pPr>
    </w:p>
    <w:p>
      <w:r>
        <w:t xml:space="preserve">Iznos 40.926,31 eura, povećanje u odnosu na isto izvještajno razdoblje prethodne godine iz razloga evidentiranja sredstava koja su osigurana i isplaćuju se iz Proračuna Grada Zagreba (Zaključak Grada Zagreba, Klasa:600-01/25-01/101, Urbroj 251-01-12-25-2) za sufinanciranje usluge prilagođenog prijevoza učenika u školskoj godini 2025./2026. godini (prijevoz za posebne namjene). Iznosi koji su za navedeno evidentirani u ovom izvještajnom razdoblju: za siječanj 5.812,50 eura, za veljaču 7.750,00 eura, za ožujak 7.362,50 eura, za travanj 6.975,00 eura, za svibanj 7.750,00 eura i za lipanj 3.487,50 eura.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13.278,73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18.216,23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137,2</w:t>
            </w:r>
          </w:p>
        </w:tc>
      </w:tr>
    </w:tbl>
    <w:p>
      <w:pPr>
        <w:spacing w:before="0" w:after="0"/>
      </w:pPr>
    </w:p>
    <w:p>
      <w:r>
        <w:t xml:space="preserve">Iznos 18.216,23 eura, povećanje u odnosu na isto izvještajno razdoblje prethodne godine iz razloga potrebe za  provedbom ispitivanjima prema propisima iz zaštite na radu i zaštite od požara na sve naše 3 lokacije. Provedene su ispitivanja protupanične rasvjete, tipkala za isključenje napona, ispitivanje uvjeta u radnom okolišu, ispitivanje sustava vatrodojave, ispitivanje plinskih bojlera, ispitivanje električnih instalacija, servis sustava vatrodojave, servis plinskog kotla (sve u ukupnom iznosu od 3.473,96 eura). Sve navedeno podmirujemo iz sredstava koja nam Grad Zagreb kvartalno dodjeljuje za tekuće i investicijsko održavanje. Temeljem odobrenja Grada Zagreba obavljeno je i evidentirano financiranje radova postava antistres podloge na školskom igralištu na lokaciji Goljak 2 u iznosu od 2.625,00 eura. Unutra navedenog rashoda evidentirana je i demontaža starog razbijenog i izrada, dostava i ugradnja novog izo stakla na lokaciji Banjavčićeva 16 (iznos 2.648,00 eura) šteta je prijavljena osiguravajućem društvu, čekamo rješenje odštetnog zahtjeva i refundaciju štete od strane osiguravatelja.</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Zdravstvene i veterinarske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3.657,00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&gt;&gt;100</w:t>
            </w:r>
          </w:p>
        </w:tc>
      </w:tr>
    </w:tbl>
    <w:p>
      <w:pPr>
        <w:spacing w:before="0" w:after="0"/>
      </w:pPr>
    </w:p>
    <w:p>
      <w:r>
        <w:t xml:space="preserve">Iznos 3.657,00 eura, povećanje u odnosu na isto izvještajno razdoblje prethodne godine iz razloga provedbe sistematskog pregleda zaposlenika Centra u iznosu 3.657,00 eura. Sistematski pregledi su dogovoreni u skladu s članom 84. temeljnog Kolektivnog ugovora za službenike i namještenike u javnim službama. Navedeno je refundirano od strane Grada Zagreba u izvještajnom razdoblju.</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1.814,85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2.026,57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111,7</w:t>
            </w:r>
          </w:p>
        </w:tc>
      </w:tr>
    </w:tbl>
    <w:p>
      <w:pPr>
        <w:spacing w:before="0" w:after="0"/>
      </w:pPr>
    </w:p>
    <w:p>
      <w:r>
        <w:t xml:space="preserve">Iznos 2.026,57 eura - unutar navedenog odjeljka evidentira se financiranje od strane Grada Zagreba naknade sredstva za Attend tehničara i financiranje od strane Grada Zagreba naknada sredstva za rad stručnjaka za tehničku podršku u ukupnom iznosu 1.807,82 eura. (za siječanj, veljaču, ožujak, travanj, svibanj i lipanj 2026. godine. Evidentiran je i iznos od  125,00 eura koji se odnosi na usluge odvjetnika u svezi pribave katastarskih isprava, te iznos od 93,75 eura za odvjetničke usluge pravnog savjetovanja.</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199.091,13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177.964,80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89,4</w:t>
            </w:r>
          </w:p>
        </w:tc>
      </w:tr>
    </w:tbl>
    <w:p>
      <w:pPr>
        <w:spacing w:before="0" w:after="0"/>
      </w:pPr>
    </w:p>
    <w:p>
      <w:r>
        <w:t xml:space="preserve">Iznos 177.964,80 eura, unutar navedene šifre nalazi se sufinanciranje povećanih troškova prijevoza i prehrane djece s teškoćama u razvoju sufinanciranih od strane Državnog proračuna RH za učenike temeljem Odluke Ministarstva znanosti i obrazovanja o kriterijima za financiranje povećanih troškova prijevoza i posebnih nastavnih sredstava i pomagala te sufinanciranje prehrane učenika s teškoćama u razvoju u osnovnoškolskim programima (141.400,00 eura prilagođeni prijevoz učenika od strane ovlaštenog prijevoznika, 21.701,88 eura za refundacije  troškova individualnog prijevoza roditelja učenika od kuće do škole i natrag, 11.640,16 eura za sufinanciranje prehrane učenika). Ostali rashodi evidentirani unutar navedene šifre su: grafičke i tiskarske usluge (1.557,35 eura), usluge pri registraciji prijevoznih sredstava – službenih kombi vozila Centra kojima se obavlja prilagođeni prijevoz učenika od kuće do škole i natrag (552,91 eura), usluge čuvanja imovine i osoba (990,00 eura), ostale nespomenute usluge (122,50 eura).</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rad predstavničkih i izvršnih tijela, povjerenstava i slično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1.334,92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1.675,32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125,5</w:t>
            </w:r>
          </w:p>
        </w:tc>
      </w:tr>
    </w:tbl>
    <w:p>
      <w:pPr>
        <w:spacing w:before="0" w:after="0"/>
      </w:pPr>
    </w:p>
    <w:p>
      <w:r>
        <w:t xml:space="preserve">Razlog odstupanja je povećanje naknade članovima od 1.10.2025., iz čega proizlazi veći trošak naknada za rad članova.</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Premije osiguranja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927,63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3.234,87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348,7</w:t>
            </w:r>
          </w:p>
        </w:tc>
      </w:tr>
    </w:tbl>
    <w:p>
      <w:pPr>
        <w:spacing w:before="0" w:after="0"/>
      </w:pPr>
    </w:p>
    <w:p>
      <w:r>
        <w:t xml:space="preserve">Iznos 3.234,87 eura, razlog odstupanja u odnosu na isto izvještajno razdoblje prethodne godine iz razloga ugovaranja police osiguranja za osiguranje imovine (201,00 eura) i  police osiguranja od odgovornosti (977,00 eura), koje su bile valjane do 1.6.2026. (plaćanje 2.rate). Od razdoblja 1.6.2026. ugovorene su nove police osiguranja u iznosu 1.129,24 eura.  Iznose plaćene za navedene police refundira Grad Zagreb. Ostali rashodi unutar navedene šifre su ugovorene osnovne police auto osiguranja za službena kombi vozila Centra za odgoj i obrazovanje Goljak u iznosu 927,63 eura.</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4.834,19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4.544,11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94,0</w:t>
            </w:r>
          </w:p>
        </w:tc>
      </w:tr>
    </w:tbl>
    <w:p>
      <w:pPr>
        <w:spacing w:before="0" w:after="0"/>
      </w:pPr>
    </w:p>
    <w:p>
      <w:r>
        <w:t xml:space="preserve">Iznos 4.544,11 eura, unutar navedenog evidentiran je povrat neutrošenih sredstava za prehranu za 1.polugodište školske godine 2025./2026. u iznosu 4.152,25 eura (prema tablici obračuna troškova prehrane). Ministarstvo znanosti obrazovanja i mladih mjesečno osigurava sredstva za sufinanciranje troškova prehrane učenicima.</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Uređaji, strojevi i oprema za ostale namjene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638,90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626,9</w:t>
            </w:r>
          </w:p>
        </w:tc>
      </w:tr>
    </w:tbl>
    <w:p>
      <w:pPr>
        <w:spacing w:before="0" w:after="0"/>
      </w:pPr>
    </w:p>
    <w:p>
      <w:r>
        <w:t xml:space="preserve">Iznos 638,90 eura. Nabava uređaja i strojeva za održavanje vanjskih prostora Centra (aku škare 174,00 eura,  visokotlačni perač 309,90 eura i puhalo lišća 155,00 eura)</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i primitaka raspoloživ u sljedećem razdoblju (šifre X005 + '9221-9222' - Y005 - '9222-9221')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61.439,14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Nalazi se višak prihoda i primitaka raspoloživ u sljedećem razdoblju, 61.439,14 eura. Višak je nastao prijenosom viška  prihoda i primitaka i u iznosu od 35.406,36 eura (šifra 9221-9222) i viškom prihoda i primitaka u izvještajnom razdoblju  u iznosu od 26.032,78 eura (šifra X005).</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bolest, invalidnost i smrtni slučaj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441,44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1.324,32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300</w:t>
            </w:r>
          </w:p>
        </w:tc>
      </w:tr>
    </w:tbl>
    <w:p>
      <w:pPr>
        <w:spacing w:before="0" w:after="0"/>
      </w:pPr>
    </w:p>
    <w:p>
      <w:r>
        <w:t xml:space="preserve">Evidentiranje 3 obračuna pomoći radi bolovanje duljeg od 90 dana u izvještajnom razdoblju.</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rad članovima predstavničkih i izvršnih tijela i upravnih vijeća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1.334,92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1.675,32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125,5</w:t>
            </w:r>
          </w:p>
        </w:tc>
      </w:tr>
    </w:tbl>
    <w:p>
      <w:pPr>
        <w:spacing w:before="0" w:after="0"/>
      </w:pPr>
    </w:p>
    <w:p>
      <w:r>
        <w:t xml:space="preserve">Povećanje naknade članovima od 1.10.2025., iz čega proizlazi veći trošak naknada za rad članova.</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3.395,87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Dospjele obveze na kraju izvještajnog razdoblja u iznosu 3.395,87 eura odnose se na ulazne račune koju su u računovodstvo zaprimljeni prekasno s obzirom na red plaćanja i rok dospijeća, iz tog razloga došlo je do prekoračenja u podmirenju 1 do 60 dana (D232A). Računi se odnose na obveze za materijalne rashode.</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nedospjelih obveza na kraju izvještajnog razdoblja (šifre V010 + ND23 + ND24 + 'ND dio 25,26' + ND27)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259.683,72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Iznos 259.683,72 eura čine nedospjele obveze na kraju izvještajnog razdoblja, one obveze koje su nastale u tekućem razdoblju, a njihovo dospijeće je u sljedećem izvještajnom razdoblju. Navedene obveze sadrže: nedospjele obveze za plaću zadnjeg mjeseca izvještajnog razdoblja, naknade za troškove  prijevoza zaposlenika za zadnje izvještajno razdoblje, obveze za materijalne rashode, obveze za financijske rashode, ostale tekuće obveze, obveze za nabavu proizvedene dugotrajne imovine, obveze za depozite i jamčevne pologe, obveze za EU predujmove, obveze proračunskih korisnika za povrat u proračun - HZZO (međusobne obveze proračunskih korisnika).</w:t>
      </w:r>
    </w:p>
    <w:p/>
    <w:p>
      <w:pPr>
        <w:jc w:val="center"/>
        <w:pStyle w:val="Normal"/>
        <w:spacing w:line="240" w:lineRule="auto"/>
        <w:keepNext/>
      </w:pPr>
      <w:r>
        <w:rPr>
          <w:sz w:val="28"/>
          <w:rFonts w:ascii="Times New Roman" w:hAnsi="Times New Roman"/>
        </w:rPr>
        <w:t xml:space="preserve">Bilješka 20.</w:t>
      </w:r>
    </w:p>
    <w:p>
      <w:pPr>
        <w:jc w:val="both"/>
        <w:pStyle w:val="Normal"/>
        <w:spacing w:line="240" w:lineRule="auto"/>
      </w:pPr>
      <w:r>
        <w:rPr>
          <w:b/>
          <w:sz w:val="24"/>
          <w:rFonts w:ascii="Times New Roman" w:hAnsi="Times New Roman"/>
        </w:rPr>
        <w:t xml:space="preserve">EU izvještaj</w:t>
      </w:r>
    </w:p>
    <w:p>
      <w:r>
        <w:t xml:space="preserve">Nije bilo značajnih promjena u odnosu na isto izvještajno razdoblje prethodnih godina iz razloga što u istom izvještajnom razdoblju prethodne godine Centar nije imao aktivnih EU projekata.</w:t>
      </w:r>
    </w:p>
    <w:p>
      <w:r>
        <w:t xml:space="preserve">Centar za odgoj i obrazovanje Goljak od 2025. godine sudjeluje u  projekta u sklopu programa Erasmus +, izvor financiranja 510.(ukupan iznos 12.996,00 eura).</w:t>
      </w:r>
    </w:p>
    <w:p>
      <w:r>
        <w:t xml:space="preserve">1.      Račun iz računskog plana 3213 – iznos 2.379,00 eura, evidentiranje rashoda temeljem zaprimljenog računa tijekom izvještajnog razdoblja. U izvještajnom razdoblju prethodne godine rashoda nije bilo.</w:t>
      </w:r>
    </w:p>
    <w:p>
      <w:r>
        <w:t xml:space="preserve">2.      Račun iz računskog plana 16381, 96381 – iznos 2.379,00 eura, evidentiranje u visini nastalih troškova potraživanja i obračunatih prihoda poslovanja za potrebe financijskog izvještavanja o EU tijekovima.</w:t>
      </w:r>
    </w:p>
    <w:p>
      <w:r>
        <w:t xml:space="preserve">3.      Račun iz računskog plana 27521 - Iznos 10.396,80 se odnosi na evidentiranje pretfinanciranja  u iznosu 80%  maksimalno dodijeljenih iznosa bespovratnih sredstava.</w:t>
      </w:r>
    </w:p>
    <w:p>
      <w:r>
        <w:t xml:space="preserve">4.      Račun iz računskog plana 99171 – Iznos 12.996,00 se odnosi na evidentiranje izvanbilančnih zapisa, evidentiran je ukupan ugovoreni iznos bespovratnih sredstava za program Erasmus+. Evidentiran iznos stanja na prvi i zadnji dan izvještajnog razdoblja.</w:t>
      </w:r>
    </w:p>
    <w:p>
      <w:r>
        <w:t xml:space="preserve"> </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a6ff72546901474f" /></Relationships>
</file>