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59B8" w14:textId="77777777" w:rsidR="006144F7" w:rsidRPr="006144F7" w:rsidRDefault="006144F7" w:rsidP="006144F7">
      <w:pPr>
        <w:shd w:val="clear" w:color="auto" w:fill="E8F0F9"/>
        <w:spacing w:after="0" w:line="240" w:lineRule="auto"/>
        <w:outlineLvl w:val="1"/>
        <w:rPr>
          <w:rFonts w:ascii="Arial" w:eastAsia="Times New Roman" w:hAnsi="Arial" w:cs="Arial"/>
          <w:b/>
          <w:bCs/>
          <w:color w:val="4A4A4A"/>
          <w:sz w:val="18"/>
          <w:szCs w:val="18"/>
          <w:lang w:eastAsia="hr-HR"/>
        </w:rPr>
      </w:pPr>
      <w:r w:rsidRPr="006144F7">
        <w:rPr>
          <w:rFonts w:ascii="Arial" w:eastAsia="Times New Roman" w:hAnsi="Arial" w:cs="Arial"/>
          <w:b/>
          <w:bCs/>
          <w:color w:val="4A4A4A"/>
          <w:sz w:val="18"/>
          <w:szCs w:val="18"/>
          <w:lang w:eastAsia="hr-HR"/>
        </w:rPr>
        <w:t>Zahtjev za ponovnu uporabu informacija</w:t>
      </w:r>
    </w:p>
    <w:p w14:paraId="2FBAB851"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br/>
        <w:t>Pravo na ponovnu uporabu informacija uređeno je člankom 27. Zakona o pravu na pristup informacijama ("Narodne novine", broj 25/13):</w:t>
      </w:r>
    </w:p>
    <w:p w14:paraId="293DD86A"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(1) Svaki korisnik ima pravo na ponovnu uporabu informacija u komercijalne ili nekomercijalne svrhe, u skladu s odredbama toga Zakona.</w:t>
      </w:r>
    </w:p>
    <w:p w14:paraId="44A41DF1"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(2) U svrhu ponovne uporabe informacija tijelo javne vlasti će učiniti svoje informacije dostupnima u elektroničkom obliku kad god je to moguće i primjereno. Tijelo javne vlasti nema obvezu osigurati pretvorbu informacija iz jednog oblika u drugi niti osigurati uporabu dijela informacije te nema obvezu obnavljati (ažurirati, nadograđivati, nastaviti stvarati) određenu informaciju samo u svrhu ponovne uporabe.</w:t>
      </w:r>
    </w:p>
    <w:p w14:paraId="671D92AC"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U zahtjevu za ponovnu uporabu informacija podnositelj zahtjeva mora, osim podataka iz članka 18. stavka 3. ovog Zakona, navesti i:</w:t>
      </w:r>
    </w:p>
    <w:p w14:paraId="7490AE71" w14:textId="77777777" w:rsidR="006144F7" w:rsidRPr="006144F7" w:rsidRDefault="006144F7" w:rsidP="006144F7">
      <w:pPr>
        <w:spacing w:after="0" w:line="240" w:lineRule="auto"/>
        <w:rPr>
          <w:rFonts w:ascii="Times New Roman" w:eastAsia="Times New Roman" w:hAnsi="Times New Roman" w:cs="Times New Roman"/>
          <w:sz w:val="24"/>
          <w:szCs w:val="24"/>
          <w:lang w:eastAsia="hr-HR"/>
        </w:rPr>
      </w:pPr>
      <w:r w:rsidRPr="006144F7">
        <w:rPr>
          <w:rFonts w:ascii="Arial" w:eastAsia="Times New Roman" w:hAnsi="Arial" w:cs="Arial"/>
          <w:color w:val="4A4A4A"/>
          <w:sz w:val="18"/>
          <w:szCs w:val="18"/>
          <w:shd w:val="clear" w:color="auto" w:fill="E8F0F9"/>
          <w:lang w:eastAsia="hr-HR"/>
        </w:rPr>
        <w:t>1) informacije koje želi ponovno upotrijebiti,</w:t>
      </w:r>
      <w:r w:rsidRPr="006144F7">
        <w:rPr>
          <w:rFonts w:ascii="Arial" w:eastAsia="Times New Roman" w:hAnsi="Arial" w:cs="Arial"/>
          <w:color w:val="4A4A4A"/>
          <w:sz w:val="18"/>
          <w:szCs w:val="18"/>
          <w:lang w:eastAsia="hr-HR"/>
        </w:rPr>
        <w:br/>
      </w:r>
      <w:r w:rsidRPr="006144F7">
        <w:rPr>
          <w:rFonts w:ascii="Arial" w:eastAsia="Times New Roman" w:hAnsi="Arial" w:cs="Arial"/>
          <w:color w:val="4A4A4A"/>
          <w:sz w:val="18"/>
          <w:szCs w:val="18"/>
          <w:shd w:val="clear" w:color="auto" w:fill="E8F0F9"/>
          <w:lang w:eastAsia="hr-HR"/>
        </w:rPr>
        <w:t>2) način na koji želi primiti sadržaj traženih informacija,</w:t>
      </w:r>
      <w:r w:rsidRPr="006144F7">
        <w:rPr>
          <w:rFonts w:ascii="Arial" w:eastAsia="Times New Roman" w:hAnsi="Arial" w:cs="Arial"/>
          <w:color w:val="4A4A4A"/>
          <w:sz w:val="18"/>
          <w:szCs w:val="18"/>
          <w:lang w:eastAsia="hr-HR"/>
        </w:rPr>
        <w:br/>
      </w:r>
      <w:r w:rsidRPr="006144F7">
        <w:rPr>
          <w:rFonts w:ascii="Arial" w:eastAsia="Times New Roman" w:hAnsi="Arial" w:cs="Arial"/>
          <w:color w:val="4A4A4A"/>
          <w:sz w:val="18"/>
          <w:szCs w:val="18"/>
          <w:shd w:val="clear" w:color="auto" w:fill="E8F0F9"/>
          <w:lang w:eastAsia="hr-HR"/>
        </w:rPr>
        <w:t>3) svrhu u koju želi ponovno upotrijebiti informacije (komercijalna ili nekomercijalna svrha).</w:t>
      </w:r>
    </w:p>
    <w:p w14:paraId="6D811CB5"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Detaljne uvjete o ponovnoj uporabi informacija i odobravanju isključivih prava iz stavka 1. članka 34., kao i sadržaj i način objave, te s time povezano vođenje evidencije propisat će pravilnikom ministar nadležan za poslove opće uprave.</w:t>
      </w:r>
      <w:r w:rsidRPr="006144F7">
        <w:rPr>
          <w:rFonts w:ascii="Arial" w:eastAsia="Times New Roman" w:hAnsi="Arial" w:cs="Arial"/>
          <w:color w:val="4A4A4A"/>
          <w:sz w:val="18"/>
          <w:szCs w:val="18"/>
          <w:lang w:eastAsia="hr-HR"/>
        </w:rPr>
        <w:br/>
        <w:t> </w:t>
      </w:r>
    </w:p>
    <w:p w14:paraId="0D374F1B" w14:textId="77777777" w:rsidR="006144F7" w:rsidRPr="006144F7" w:rsidRDefault="006144F7" w:rsidP="006144F7">
      <w:pPr>
        <w:shd w:val="clear" w:color="auto" w:fill="E8F0F9"/>
        <w:spacing w:after="0" w:line="240" w:lineRule="auto"/>
        <w:outlineLvl w:val="1"/>
        <w:rPr>
          <w:rFonts w:ascii="Arial" w:eastAsia="Times New Roman" w:hAnsi="Arial" w:cs="Arial"/>
          <w:b/>
          <w:bCs/>
          <w:color w:val="4A4A4A"/>
          <w:sz w:val="18"/>
          <w:szCs w:val="18"/>
          <w:lang w:eastAsia="hr-HR"/>
        </w:rPr>
      </w:pPr>
      <w:r w:rsidRPr="006144F7">
        <w:rPr>
          <w:rFonts w:ascii="Arial" w:eastAsia="Times New Roman" w:hAnsi="Arial" w:cs="Arial"/>
          <w:b/>
          <w:bCs/>
          <w:color w:val="4A4A4A"/>
          <w:sz w:val="18"/>
          <w:szCs w:val="18"/>
          <w:lang w:eastAsia="hr-HR"/>
        </w:rPr>
        <w:t>Naknada troškova</w:t>
      </w:r>
    </w:p>
    <w:p w14:paraId="1DE28252" w14:textId="77777777" w:rsidR="006144F7" w:rsidRPr="006144F7" w:rsidRDefault="006144F7" w:rsidP="006144F7">
      <w:pPr>
        <w:spacing w:after="0" w:line="240" w:lineRule="auto"/>
        <w:rPr>
          <w:rFonts w:ascii="Times New Roman" w:eastAsia="Times New Roman" w:hAnsi="Times New Roman" w:cs="Times New Roman"/>
          <w:sz w:val="24"/>
          <w:szCs w:val="24"/>
          <w:lang w:eastAsia="hr-HR"/>
        </w:rPr>
      </w:pPr>
      <w:r w:rsidRPr="006144F7">
        <w:rPr>
          <w:rFonts w:ascii="Arial" w:eastAsia="Times New Roman" w:hAnsi="Arial" w:cs="Arial"/>
          <w:color w:val="4A4A4A"/>
          <w:sz w:val="18"/>
          <w:szCs w:val="18"/>
          <w:lang w:eastAsia="hr-HR"/>
        </w:rPr>
        <w:br/>
      </w:r>
    </w:p>
    <w:p w14:paraId="15AE5085"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Na pristup informacijama u postupcima pred tijelima javne vlasti ne plaćaju se upravne i sudske pristojbe. Međutim, tijelo javne vlasti ima pravo na naknadu stvarnih materijalnih troškova koji nastanu pružanjem informacije korisniku prava na pristup informacijama i ponovnu uporabu informacija, kao i na naknadu troškova dostave tražene informacije, koja se naplaćuje sukladno Kriterijima za određivanje visine naknade, a koje će utvrditi Povjerenik za informiranje. Kada se utvrde kriteriji, Državna komisija za kontrolu postupaka javne nabave će, sukladno odredbama čl. 32. predmetnoga Zakona, putem internetske stranice objaviti sve uvjete za ponovnu uporabu i naknadu iz članka 19. stavka 2. toga Zakona.</w:t>
      </w:r>
    </w:p>
    <w:p w14:paraId="5B53B1CA" w14:textId="77777777" w:rsidR="00090221" w:rsidRDefault="00090221"/>
    <w:sectPr w:rsidR="00090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F7"/>
    <w:rsid w:val="00090221"/>
    <w:rsid w:val="006144F7"/>
    <w:rsid w:val="00C257F9"/>
    <w:rsid w:val="00C96E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AB2D"/>
  <w15:chartTrackingRefBased/>
  <w15:docId w15:val="{31EE7945-166F-4D88-8907-50B3AF3D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Kralj Šantić</dc:creator>
  <cp:keywords/>
  <dc:description/>
  <cp:lastModifiedBy>Andrea Božić</cp:lastModifiedBy>
  <cp:revision>2</cp:revision>
  <dcterms:created xsi:type="dcterms:W3CDTF">2026-05-05T11:24:00Z</dcterms:created>
  <dcterms:modified xsi:type="dcterms:W3CDTF">2026-05-05T11:24:00Z</dcterms:modified>
</cp:coreProperties>
</file>