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3734EC47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7E5B97">
        <w:rPr>
          <w:sz w:val="20"/>
          <w:szCs w:val="20"/>
        </w:rPr>
        <w:t>28</w:t>
      </w:r>
    </w:p>
    <w:p w14:paraId="431DC830" w14:textId="3DB9EE17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932DD2">
        <w:rPr>
          <w:sz w:val="20"/>
          <w:szCs w:val="20"/>
        </w:rPr>
        <w:t>5</w:t>
      </w:r>
    </w:p>
    <w:p w14:paraId="6895BB97" w14:textId="79B7B8B9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932DD2">
        <w:rPr>
          <w:bCs/>
          <w:sz w:val="20"/>
          <w:szCs w:val="20"/>
        </w:rPr>
        <w:t>11.12.2025.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15EB787B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932DD2">
        <w:rPr>
          <w:sz w:val="20"/>
          <w:szCs w:val="20"/>
        </w:rPr>
        <w:t>02.12.2025.</w:t>
      </w:r>
      <w:r w:rsidR="00E843F9">
        <w:rPr>
          <w:sz w:val="20"/>
          <w:szCs w:val="20"/>
        </w:rPr>
        <w:t xml:space="preserve"> do </w:t>
      </w:r>
      <w:r w:rsidR="00932DD2">
        <w:rPr>
          <w:sz w:val="20"/>
          <w:szCs w:val="20"/>
        </w:rPr>
        <w:t>10.12.</w:t>
      </w:r>
      <w:r w:rsidR="00E843F9">
        <w:rPr>
          <w:sz w:val="20"/>
          <w:szCs w:val="20"/>
        </w:rPr>
        <w:t>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932DD2">
        <w:rPr>
          <w:sz w:val="20"/>
          <w:szCs w:val="20"/>
        </w:rPr>
        <w:t>11. prosinca 2025.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F964A9D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932DD2">
        <w:rPr>
          <w:sz w:val="20"/>
          <w:szCs w:val="20"/>
        </w:rPr>
        <w:t>02.12.2025.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161373DE" w:rsidR="006823B4" w:rsidRDefault="00C6583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profila, određeno, puno radno vrijeme,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CF836A0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932DD2">
        <w:rPr>
          <w:b/>
          <w:bCs/>
          <w:sz w:val="20"/>
          <w:szCs w:val="20"/>
        </w:rPr>
        <w:t>srijedu</w:t>
      </w:r>
      <w:r w:rsidRPr="00F816FF">
        <w:rPr>
          <w:b/>
          <w:bCs/>
          <w:sz w:val="20"/>
          <w:szCs w:val="20"/>
        </w:rPr>
        <w:t xml:space="preserve">, </w:t>
      </w:r>
      <w:r w:rsidR="00932DD2">
        <w:rPr>
          <w:b/>
          <w:bCs/>
          <w:sz w:val="20"/>
          <w:szCs w:val="20"/>
        </w:rPr>
        <w:t>17.12.2025.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1ACF4D12" w:rsidR="00755B19" w:rsidRPr="00F816FF" w:rsidRDefault="00932DD2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Srijeda, 17.12.2025.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80422AB" w14:textId="776D6FDF" w:rsidR="00E718D6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C2554E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:00- </w:t>
      </w:r>
      <w:r w:rsidR="00C2554E">
        <w:rPr>
          <w:b/>
          <w:bCs/>
          <w:sz w:val="20"/>
          <w:szCs w:val="20"/>
        </w:rPr>
        <w:t>L.M.</w:t>
      </w:r>
    </w:p>
    <w:p w14:paraId="3FC17502" w14:textId="2143D0C2" w:rsidR="00C2554E" w:rsidRDefault="00C2554E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13:15-</w:t>
      </w:r>
      <w:r w:rsidR="001932AB">
        <w:rPr>
          <w:b/>
          <w:bCs/>
          <w:sz w:val="20"/>
          <w:szCs w:val="20"/>
        </w:rPr>
        <w:t>V.M.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C85F" w14:textId="77777777" w:rsidR="00C43A5A" w:rsidRDefault="00C43A5A" w:rsidP="0034050F">
      <w:r>
        <w:separator/>
      </w:r>
    </w:p>
  </w:endnote>
  <w:endnote w:type="continuationSeparator" w:id="0">
    <w:p w14:paraId="281C218F" w14:textId="77777777" w:rsidR="00C43A5A" w:rsidRDefault="00C43A5A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321F" w14:textId="77777777" w:rsidR="00C43A5A" w:rsidRDefault="00C43A5A" w:rsidP="0034050F">
      <w:r>
        <w:separator/>
      </w:r>
    </w:p>
  </w:footnote>
  <w:footnote w:type="continuationSeparator" w:id="0">
    <w:p w14:paraId="165A7C82" w14:textId="77777777" w:rsidR="00C43A5A" w:rsidRDefault="00C43A5A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32AB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7E5B97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32B4A"/>
    <w:rsid w:val="00932DD2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3408"/>
    <w:rsid w:val="00BC41EF"/>
    <w:rsid w:val="00BD26A7"/>
    <w:rsid w:val="00BF334D"/>
    <w:rsid w:val="00C1750E"/>
    <w:rsid w:val="00C2554E"/>
    <w:rsid w:val="00C36717"/>
    <w:rsid w:val="00C37249"/>
    <w:rsid w:val="00C43A5A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EF5B6C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83</cp:revision>
  <cp:lastPrinted>2025-10-01T10:24:00Z</cp:lastPrinted>
  <dcterms:created xsi:type="dcterms:W3CDTF">2020-11-13T08:00:00Z</dcterms:created>
  <dcterms:modified xsi:type="dcterms:W3CDTF">2025-12-12T08:14:00Z</dcterms:modified>
</cp:coreProperties>
</file>