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40DD" w14:textId="63496B59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401B91">
        <w:rPr>
          <w:rFonts w:ascii="Times New Roman" w:hAnsi="Times New Roman" w:cs="Times New Roman"/>
          <w:sz w:val="22"/>
          <w:szCs w:val="22"/>
        </w:rPr>
        <w:t xml:space="preserve">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742ABB">
        <w:rPr>
          <w:rFonts w:ascii="Times New Roman" w:hAnsi="Times New Roman" w:cs="Times New Roman"/>
          <w:sz w:val="22"/>
          <w:szCs w:val="22"/>
        </w:rPr>
        <w:t>za razdoblje 202</w:t>
      </w:r>
      <w:r w:rsidR="00285F8D">
        <w:rPr>
          <w:rFonts w:ascii="Times New Roman" w:hAnsi="Times New Roman" w:cs="Times New Roman"/>
          <w:sz w:val="22"/>
          <w:szCs w:val="22"/>
        </w:rPr>
        <w:t>6</w:t>
      </w:r>
      <w:r w:rsidR="00742ABB">
        <w:rPr>
          <w:rFonts w:ascii="Times New Roman" w:hAnsi="Times New Roman" w:cs="Times New Roman"/>
          <w:sz w:val="22"/>
          <w:szCs w:val="22"/>
        </w:rPr>
        <w:t>. – 202</w:t>
      </w:r>
      <w:r w:rsidR="00285F8D">
        <w:rPr>
          <w:rFonts w:ascii="Times New Roman" w:hAnsi="Times New Roman" w:cs="Times New Roman"/>
          <w:sz w:val="22"/>
          <w:szCs w:val="22"/>
        </w:rPr>
        <w:t>8.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4FF4DC74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90DC5">
        <w:rPr>
          <w:rFonts w:ascii="Times New Roman" w:hAnsi="Times New Roman" w:cs="Times New Roman"/>
          <w:b w:val="0"/>
          <w:sz w:val="22"/>
          <w:szCs w:val="22"/>
        </w:rPr>
        <w:t>Centar za odgoj i obrazovanje „Goljak“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65B3D4D2" w:rsidR="000078B7" w:rsidRPr="00676B80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A2942" w:rsidRPr="004A2942">
        <w:rPr>
          <w:rFonts w:ascii="Times New Roman" w:hAnsi="Times New Roman" w:cs="Times New Roman"/>
          <w:b w:val="0"/>
          <w:sz w:val="22"/>
          <w:szCs w:val="22"/>
        </w:rPr>
        <w:t>Centar je javna ustanova koja obavlja osnovno obrazovanje,</w:t>
      </w:r>
      <w:r w:rsidR="00FD539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A2942" w:rsidRPr="004A2942">
        <w:rPr>
          <w:rFonts w:ascii="Times New Roman" w:hAnsi="Times New Roman" w:cs="Times New Roman"/>
          <w:b w:val="0"/>
          <w:sz w:val="22"/>
          <w:szCs w:val="22"/>
        </w:rPr>
        <w:t>predškolski odgoj i naobrazbu učenika i djece s većim teškoćama u razvoju, tjelesnom invalidnošću i kroničnim bolestima. Centar u sv</w:t>
      </w:r>
      <w:r w:rsidR="00742ABB">
        <w:rPr>
          <w:rFonts w:ascii="Times New Roman" w:hAnsi="Times New Roman" w:cs="Times New Roman"/>
          <w:b w:val="0"/>
          <w:sz w:val="22"/>
          <w:szCs w:val="22"/>
        </w:rPr>
        <w:t xml:space="preserve">om sastavu ima: osnovnu školu, </w:t>
      </w:r>
      <w:r w:rsidR="004A2942" w:rsidRPr="004A2942">
        <w:rPr>
          <w:rFonts w:ascii="Times New Roman" w:hAnsi="Times New Roman" w:cs="Times New Roman"/>
          <w:b w:val="0"/>
          <w:sz w:val="22"/>
          <w:szCs w:val="22"/>
        </w:rPr>
        <w:t xml:space="preserve"> radno osposobljavanje do 21. godine, pružanje stručne pomoći predškolskim i osnovnoškolskim ustanovama u koje su integrirana djeca i mladež s tjelesnom </w:t>
      </w:r>
      <w:r w:rsidR="000F0AE9">
        <w:rPr>
          <w:rFonts w:ascii="Times New Roman" w:hAnsi="Times New Roman" w:cs="Times New Roman"/>
          <w:b w:val="0"/>
          <w:sz w:val="22"/>
          <w:szCs w:val="22"/>
        </w:rPr>
        <w:t>invalidnošću</w:t>
      </w:r>
      <w:r w:rsidR="004A2942" w:rsidRPr="004A2942">
        <w:rPr>
          <w:rFonts w:ascii="Times New Roman" w:hAnsi="Times New Roman" w:cs="Times New Roman"/>
          <w:b w:val="0"/>
          <w:sz w:val="22"/>
          <w:szCs w:val="22"/>
        </w:rPr>
        <w:t xml:space="preserve"> i kroničnim bolestima, mogućnost organizacije osnovnog obrazovanja za odrasle osobe koje nisu završile osnovnu školu. Centar pr</w:t>
      </w:r>
      <w:r w:rsidR="004A2942">
        <w:rPr>
          <w:rFonts w:ascii="Times New Roman" w:hAnsi="Times New Roman" w:cs="Times New Roman"/>
          <w:b w:val="0"/>
          <w:sz w:val="22"/>
          <w:szCs w:val="22"/>
        </w:rPr>
        <w:t>ovodi odgojno-obrazovni rad na svoje 3</w:t>
      </w:r>
      <w:r w:rsidR="004A2942" w:rsidRPr="004A2942">
        <w:rPr>
          <w:rFonts w:ascii="Times New Roman" w:hAnsi="Times New Roman" w:cs="Times New Roman"/>
          <w:b w:val="0"/>
          <w:sz w:val="22"/>
          <w:szCs w:val="22"/>
        </w:rPr>
        <w:t xml:space="preserve"> izdvojene lokacije (Goljak 2, B</w:t>
      </w:r>
      <w:r w:rsidR="00742ABB">
        <w:rPr>
          <w:rFonts w:ascii="Times New Roman" w:hAnsi="Times New Roman" w:cs="Times New Roman"/>
          <w:b w:val="0"/>
          <w:sz w:val="22"/>
          <w:szCs w:val="22"/>
        </w:rPr>
        <w:t>anjavčićeva 16, Zavrtnica 30). P</w:t>
      </w:r>
      <w:r w:rsidR="004A2942">
        <w:rPr>
          <w:rFonts w:ascii="Times New Roman" w:hAnsi="Times New Roman" w:cs="Times New Roman"/>
          <w:b w:val="0"/>
          <w:sz w:val="22"/>
          <w:szCs w:val="22"/>
        </w:rPr>
        <w:t>rogram predškolskog odgoja</w:t>
      </w:r>
      <w:r w:rsidR="004F12D2">
        <w:rPr>
          <w:rFonts w:ascii="Times New Roman" w:hAnsi="Times New Roman" w:cs="Times New Roman"/>
          <w:b w:val="0"/>
          <w:sz w:val="22"/>
          <w:szCs w:val="22"/>
        </w:rPr>
        <w:t xml:space="preserve"> se</w:t>
      </w:r>
      <w:r w:rsidR="004A294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42ABB">
        <w:rPr>
          <w:rFonts w:ascii="Times New Roman" w:hAnsi="Times New Roman" w:cs="Times New Roman"/>
          <w:b w:val="0"/>
          <w:sz w:val="22"/>
          <w:szCs w:val="22"/>
        </w:rPr>
        <w:t xml:space="preserve">ne </w:t>
      </w:r>
      <w:r w:rsidR="004F12D2">
        <w:rPr>
          <w:rFonts w:ascii="Times New Roman" w:hAnsi="Times New Roman" w:cs="Times New Roman"/>
          <w:b w:val="0"/>
          <w:sz w:val="22"/>
          <w:szCs w:val="22"/>
        </w:rPr>
        <w:t>provodi</w:t>
      </w:r>
      <w:r w:rsidR="00742ABB">
        <w:rPr>
          <w:rFonts w:ascii="Times New Roman" w:hAnsi="Times New Roman" w:cs="Times New Roman"/>
          <w:b w:val="0"/>
          <w:sz w:val="22"/>
          <w:szCs w:val="22"/>
        </w:rPr>
        <w:t xml:space="preserve"> u školskoj godini 202</w:t>
      </w:r>
      <w:r w:rsidR="00285F8D">
        <w:rPr>
          <w:rFonts w:ascii="Times New Roman" w:hAnsi="Times New Roman" w:cs="Times New Roman"/>
          <w:b w:val="0"/>
          <w:sz w:val="22"/>
          <w:szCs w:val="22"/>
        </w:rPr>
        <w:t>5</w:t>
      </w:r>
      <w:r w:rsidR="00742ABB">
        <w:rPr>
          <w:rFonts w:ascii="Times New Roman" w:hAnsi="Times New Roman" w:cs="Times New Roman"/>
          <w:b w:val="0"/>
          <w:sz w:val="22"/>
          <w:szCs w:val="22"/>
        </w:rPr>
        <w:t>./202</w:t>
      </w:r>
      <w:r w:rsidR="00285F8D">
        <w:rPr>
          <w:rFonts w:ascii="Times New Roman" w:hAnsi="Times New Roman" w:cs="Times New Roman"/>
          <w:b w:val="0"/>
          <w:sz w:val="22"/>
          <w:szCs w:val="22"/>
        </w:rPr>
        <w:t>6</w:t>
      </w:r>
      <w:r w:rsidR="00742ABB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4B45E983" w14:textId="66266CD0" w:rsidR="00584B31" w:rsidRPr="00676B80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5809DB54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2DA04C2C" w:rsidR="000879F9" w:rsidRPr="00D10E5E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87/08, 86/09, 92/10, </w:t>
      </w:r>
      <w:r w:rsidR="00D10E5E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="00AF4273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105/10, 90/11,</w:t>
      </w:r>
      <w:r w:rsidR="00D10E5E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5/12</w:t>
      </w:r>
      <w:r w:rsidR="00AF4273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16/12,  86/12</w:t>
      </w:r>
      <w:r w:rsidR="00D10E5E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,126/12 </w:t>
      </w:r>
      <w:r w:rsidR="0001159B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94/13, 152/14, 7/17, </w:t>
      </w:r>
      <w:r w:rsidR="00AF4273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68/18</w:t>
      </w:r>
      <w:r w:rsidR="0001159B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98/19 i 64/20.</w:t>
      </w:r>
      <w:r w:rsidR="00DE7708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151/22, 155/23, 156/23</w:t>
      </w:r>
      <w:r w:rsidR="00AF4273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)</w:t>
      </w:r>
      <w:r w:rsidR="00816F37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D10E5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63/08)</w:t>
      </w:r>
    </w:p>
    <w:p w14:paraId="101419B5" w14:textId="55446B46" w:rsidR="0001159B" w:rsidRDefault="0001159B" w:rsidP="0001159B">
      <w:pPr>
        <w:rPr>
          <w:sz w:val="22"/>
          <w:szCs w:val="22"/>
        </w:rPr>
      </w:pPr>
      <w:r w:rsidRPr="0001159B">
        <w:rPr>
          <w:sz w:val="22"/>
          <w:szCs w:val="22"/>
        </w:rPr>
        <w:t>Program se zasniva na Godišnjem planu i programu rada za osnovnu školu za šk. godinu 202</w:t>
      </w:r>
      <w:r w:rsidR="00285F8D">
        <w:rPr>
          <w:sz w:val="22"/>
          <w:szCs w:val="22"/>
        </w:rPr>
        <w:t>5</w:t>
      </w:r>
      <w:r w:rsidR="00374DB1">
        <w:rPr>
          <w:sz w:val="22"/>
          <w:szCs w:val="22"/>
        </w:rPr>
        <w:t>./202</w:t>
      </w:r>
      <w:r w:rsidR="00285F8D">
        <w:rPr>
          <w:sz w:val="22"/>
          <w:szCs w:val="22"/>
        </w:rPr>
        <w:t>6</w:t>
      </w:r>
      <w:r w:rsidR="00374DB1">
        <w:rPr>
          <w:sz w:val="22"/>
          <w:szCs w:val="22"/>
        </w:rPr>
        <w:t>.,</w:t>
      </w:r>
      <w:r w:rsidRPr="0001159B">
        <w:rPr>
          <w:sz w:val="22"/>
          <w:szCs w:val="22"/>
        </w:rPr>
        <w:t xml:space="preserve"> Škol</w:t>
      </w:r>
      <w:r>
        <w:rPr>
          <w:sz w:val="22"/>
          <w:szCs w:val="22"/>
        </w:rPr>
        <w:t>skom kurikulumu Centra, nastavnim</w:t>
      </w:r>
      <w:r w:rsidRPr="0001159B">
        <w:rPr>
          <w:sz w:val="22"/>
          <w:szCs w:val="22"/>
        </w:rPr>
        <w:t xml:space="preserve"> i izvannast</w:t>
      </w:r>
      <w:r>
        <w:rPr>
          <w:sz w:val="22"/>
          <w:szCs w:val="22"/>
        </w:rPr>
        <w:t>avn</w:t>
      </w:r>
      <w:r w:rsidR="00374DB1">
        <w:rPr>
          <w:sz w:val="22"/>
          <w:szCs w:val="22"/>
        </w:rPr>
        <w:t>im aktivnostima za šk. god. 202</w:t>
      </w:r>
      <w:r w:rsidR="00285F8D">
        <w:rPr>
          <w:sz w:val="22"/>
          <w:szCs w:val="22"/>
        </w:rPr>
        <w:t>5</w:t>
      </w:r>
      <w:r w:rsidR="00374DB1">
        <w:rPr>
          <w:sz w:val="22"/>
          <w:szCs w:val="22"/>
        </w:rPr>
        <w:t>./202</w:t>
      </w:r>
      <w:r w:rsidR="00285F8D">
        <w:rPr>
          <w:sz w:val="22"/>
          <w:szCs w:val="22"/>
        </w:rPr>
        <w:t>6</w:t>
      </w:r>
      <w:r w:rsidR="00374DB1">
        <w:rPr>
          <w:sz w:val="22"/>
          <w:szCs w:val="22"/>
        </w:rPr>
        <w:t>.</w:t>
      </w:r>
      <w:r w:rsidRPr="0001159B">
        <w:rPr>
          <w:sz w:val="22"/>
          <w:szCs w:val="22"/>
        </w:rPr>
        <w:t xml:space="preserve"> Prijedlog financijskog plana izrađen je u skladu s odredbama Zakona o pror</w:t>
      </w:r>
      <w:r>
        <w:rPr>
          <w:sz w:val="22"/>
          <w:szCs w:val="22"/>
        </w:rPr>
        <w:t>ačunu</w:t>
      </w:r>
      <w:r w:rsidR="00A23360">
        <w:rPr>
          <w:sz w:val="22"/>
          <w:szCs w:val="22"/>
        </w:rPr>
        <w:t xml:space="preserve"> (NN 144/21)</w:t>
      </w:r>
      <w:r>
        <w:rPr>
          <w:sz w:val="22"/>
          <w:szCs w:val="22"/>
        </w:rPr>
        <w:t xml:space="preserve"> </w:t>
      </w:r>
      <w:r w:rsidRPr="0001159B">
        <w:rPr>
          <w:sz w:val="22"/>
          <w:szCs w:val="22"/>
        </w:rPr>
        <w:t>i podzakonskim aktima</w:t>
      </w:r>
      <w:r w:rsidR="00285F8D">
        <w:rPr>
          <w:sz w:val="22"/>
          <w:szCs w:val="22"/>
        </w:rPr>
        <w:t>:</w:t>
      </w:r>
      <w:r w:rsidRPr="0001159B">
        <w:rPr>
          <w:sz w:val="22"/>
          <w:szCs w:val="22"/>
        </w:rPr>
        <w:t xml:space="preserve"> Pravilnik o proračunskim klasifikacijama</w:t>
      </w:r>
      <w:r w:rsidR="00285F8D">
        <w:rPr>
          <w:sz w:val="22"/>
          <w:szCs w:val="22"/>
        </w:rPr>
        <w:t xml:space="preserve"> (NN </w:t>
      </w:r>
      <w:r w:rsidR="00285F8D" w:rsidRPr="008B6607">
        <w:rPr>
          <w:rFonts w:ascii="Arial" w:hAnsi="Arial" w:cs="Arial"/>
          <w:sz w:val="20"/>
          <w:szCs w:val="20"/>
        </w:rPr>
        <w:t>4/24</w:t>
      </w:r>
      <w:r w:rsidR="00285F8D">
        <w:rPr>
          <w:rFonts w:ascii="Arial" w:hAnsi="Arial" w:cs="Arial"/>
          <w:sz w:val="20"/>
          <w:szCs w:val="20"/>
        </w:rPr>
        <w:t xml:space="preserve"> I 122/25)</w:t>
      </w:r>
      <w:r w:rsidRPr="0001159B">
        <w:rPr>
          <w:sz w:val="22"/>
          <w:szCs w:val="22"/>
        </w:rPr>
        <w:t>, Pravilnik o proračunskom računovodstvu i računskom planu</w:t>
      </w:r>
      <w:r w:rsidR="00A23360">
        <w:rPr>
          <w:sz w:val="22"/>
          <w:szCs w:val="22"/>
        </w:rPr>
        <w:t xml:space="preserve"> </w:t>
      </w:r>
      <w:r w:rsidR="00285F8D">
        <w:rPr>
          <w:sz w:val="22"/>
          <w:szCs w:val="22"/>
        </w:rPr>
        <w:t>(</w:t>
      </w:r>
      <w:r w:rsidR="00A23360">
        <w:rPr>
          <w:sz w:val="22"/>
          <w:szCs w:val="22"/>
        </w:rPr>
        <w:t>NN 158/23</w:t>
      </w:r>
      <w:r w:rsidR="00285F8D">
        <w:rPr>
          <w:sz w:val="22"/>
          <w:szCs w:val="22"/>
        </w:rPr>
        <w:t xml:space="preserve"> i 154/24)</w:t>
      </w:r>
      <w:r w:rsidR="00913064">
        <w:rPr>
          <w:sz w:val="22"/>
          <w:szCs w:val="22"/>
        </w:rPr>
        <w:t xml:space="preserve">, </w:t>
      </w:r>
      <w:r w:rsidR="00913064" w:rsidRPr="00913064">
        <w:rPr>
          <w:rFonts w:cs="Arial"/>
          <w:sz w:val="22"/>
          <w:szCs w:val="22"/>
        </w:rPr>
        <w:t>Pravilnik o planiranju u sustavu proračuna</w:t>
      </w:r>
      <w:r w:rsidR="00A23360">
        <w:rPr>
          <w:rFonts w:cs="Arial"/>
          <w:sz w:val="22"/>
          <w:szCs w:val="22"/>
        </w:rPr>
        <w:t xml:space="preserve"> </w:t>
      </w:r>
      <w:r w:rsidR="00285F8D">
        <w:rPr>
          <w:rFonts w:cs="Arial"/>
          <w:sz w:val="22"/>
          <w:szCs w:val="22"/>
        </w:rPr>
        <w:t>(</w:t>
      </w:r>
      <w:r w:rsidR="00A23360">
        <w:rPr>
          <w:rFonts w:cs="Arial"/>
          <w:sz w:val="22"/>
          <w:szCs w:val="22"/>
        </w:rPr>
        <w:t>NN 1/24</w:t>
      </w:r>
      <w:r w:rsidRPr="0001159B">
        <w:rPr>
          <w:sz w:val="22"/>
          <w:szCs w:val="22"/>
        </w:rPr>
        <w:t>)</w:t>
      </w:r>
      <w:r w:rsidR="00285F8D">
        <w:rPr>
          <w:sz w:val="22"/>
          <w:szCs w:val="22"/>
        </w:rPr>
        <w:t xml:space="preserve"> i Pravilnik o korištenju sredstava Europske unije (NN 44/24).</w:t>
      </w:r>
    </w:p>
    <w:p w14:paraId="2C9D660B" w14:textId="40A670B9" w:rsidR="0033338F" w:rsidRDefault="0033338F" w:rsidP="0033338F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3338F">
        <w:rPr>
          <w:sz w:val="22"/>
          <w:szCs w:val="22"/>
          <w:lang w:eastAsia="en-US"/>
        </w:rPr>
        <w:t xml:space="preserve">Prema odredbama Zakona o proračunu i Pravilnika o planiranju u sustavu proračuna, </w:t>
      </w:r>
      <w:r w:rsidRPr="0033338F">
        <w:rPr>
          <w:b/>
          <w:sz w:val="22"/>
          <w:szCs w:val="22"/>
          <w:u w:val="single"/>
          <w:lang w:eastAsia="en-US"/>
        </w:rPr>
        <w:t>financijski plan proračunskog korisnika</w:t>
      </w:r>
      <w:r w:rsidRPr="0033338F">
        <w:rPr>
          <w:sz w:val="22"/>
          <w:szCs w:val="22"/>
          <w:lang w:eastAsia="en-US"/>
        </w:rPr>
        <w:t xml:space="preserve"> sastoji se od plana za proračunsku godinu i projekcija za sljedeće dvije godine te sadrži opći i posebni dio i obrazloženje financijskog plana. </w:t>
      </w:r>
    </w:p>
    <w:p w14:paraId="4C3F424C" w14:textId="60651697" w:rsidR="00285F8D" w:rsidRPr="00285F8D" w:rsidRDefault="00285F8D" w:rsidP="0033338F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285F8D">
        <w:rPr>
          <w:rFonts w:cs="Arial"/>
          <w:sz w:val="22"/>
          <w:szCs w:val="22"/>
        </w:rPr>
        <w:t>Pravilnikom o planiranju u sustavu proračuna (Narodne novine 1/24) za jedinice lokalne i područne (regionalne) samouprave i njihove proračunske korisnike u planiranju, izvršavanju i izvještavanju o izvršenju proračuna i financijskog plana propisana je primjena modificiranog obračunskog načela.</w:t>
      </w:r>
      <w:r>
        <w:rPr>
          <w:rFonts w:cs="Arial"/>
          <w:sz w:val="22"/>
          <w:szCs w:val="22"/>
        </w:rPr>
        <w:t xml:space="preserve"> </w:t>
      </w:r>
      <w:r w:rsidRPr="00285F8D">
        <w:rPr>
          <w:rFonts w:cs="Arial"/>
          <w:bCs/>
          <w:szCs w:val="20"/>
        </w:rPr>
        <w:t>Priznavanje i iskazivanje poslovnih događaja koje se temelji na modificiranom obračunskom načelu podrazumijeva da se prihodi planiraju prema proračunskim klasifikacijama u planskom razdoblju u kojem se očekuje njihova naplata, a iskazuju u izvještajnom razdoblju u kojem su naplaćeni. Rashodi se planiraju prema proračunskim klasifikacijama u planskom razdoblju u kojem se očekuje nastanak poslovnog događaja (obveze), a iskazuju u izvještajnom razdoblju u kojem su nastali, neovisno o plaćanju</w:t>
      </w:r>
      <w:r w:rsidR="002F4F28">
        <w:rPr>
          <w:rFonts w:cs="Arial"/>
          <w:bCs/>
          <w:szCs w:val="20"/>
        </w:rPr>
        <w:t>.</w:t>
      </w:r>
    </w:p>
    <w:p w14:paraId="41E35C25" w14:textId="77777777" w:rsidR="00285F8D" w:rsidRDefault="00285F8D" w:rsidP="0001159B">
      <w:pPr>
        <w:rPr>
          <w:sz w:val="22"/>
          <w:szCs w:val="22"/>
        </w:rPr>
      </w:pPr>
    </w:p>
    <w:p w14:paraId="40BFD078" w14:textId="21207673" w:rsidR="0033338F" w:rsidRDefault="0033338F" w:rsidP="0001159B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33338F">
        <w:rPr>
          <w:sz w:val="22"/>
          <w:szCs w:val="22"/>
        </w:rPr>
        <w:t>rocjenu prihoda i primitaka za razdoblje 202</w:t>
      </w:r>
      <w:r w:rsidR="00285F8D">
        <w:rPr>
          <w:sz w:val="22"/>
          <w:szCs w:val="22"/>
        </w:rPr>
        <w:t>6</w:t>
      </w:r>
      <w:r w:rsidRPr="0033338F">
        <w:rPr>
          <w:sz w:val="22"/>
          <w:szCs w:val="22"/>
        </w:rPr>
        <w:t xml:space="preserve">. - 2027. </w:t>
      </w:r>
      <w:r>
        <w:rPr>
          <w:sz w:val="22"/>
          <w:szCs w:val="22"/>
        </w:rPr>
        <w:t xml:space="preserve">izrađena je </w:t>
      </w:r>
      <w:r w:rsidRPr="0033338F">
        <w:rPr>
          <w:sz w:val="22"/>
          <w:szCs w:val="22"/>
        </w:rPr>
        <w:t>po izvorima financiranja. Izvori financiranja predstavljaju skupine prihoda i primitaka iz kojih se podmiruju rashodi i izdaci određene vrste i utvrđene namjene.</w:t>
      </w:r>
    </w:p>
    <w:p w14:paraId="756CDA36" w14:textId="77777777" w:rsidR="002F4F28" w:rsidRPr="0033338F" w:rsidRDefault="002F4F28" w:rsidP="0001159B">
      <w:pPr>
        <w:rPr>
          <w:sz w:val="22"/>
          <w:szCs w:val="22"/>
        </w:rPr>
      </w:pPr>
    </w:p>
    <w:p w14:paraId="2BF7FAD6" w14:textId="4F9F1333" w:rsidR="000F2B00" w:rsidRPr="000F2B00" w:rsidRDefault="002F4F28" w:rsidP="000F2B00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2F4F28">
        <w:rPr>
          <w:sz w:val="22"/>
          <w:szCs w:val="22"/>
          <w:lang w:eastAsia="en-US"/>
        </w:rPr>
        <w:t>S ciljem praćenja EU tijekova po program</w:t>
      </w:r>
      <w:r w:rsidR="00DF4CED">
        <w:rPr>
          <w:sz w:val="22"/>
          <w:szCs w:val="22"/>
          <w:lang w:eastAsia="en-US"/>
        </w:rPr>
        <w:t>ima</w:t>
      </w:r>
      <w:r w:rsidRPr="002F4F28">
        <w:rPr>
          <w:sz w:val="22"/>
          <w:szCs w:val="22"/>
          <w:lang w:eastAsia="en-US"/>
        </w:rPr>
        <w:t>/ fondovima od uplate sredstava pa do utroška prema prirodnoj vrsti troška kod korisnika projekta, uvodi se primjena jedinstvenih oznaka financiranja za EU sredstva za sve subjekte unutar općeg proračuna.</w:t>
      </w:r>
      <w:r>
        <w:rPr>
          <w:sz w:val="22"/>
          <w:szCs w:val="22"/>
          <w:lang w:eastAsia="en-US"/>
        </w:rPr>
        <w:t>.</w:t>
      </w:r>
      <w:r w:rsidRPr="002F4F28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</w:t>
      </w:r>
      <w:r w:rsidRPr="002F4F28">
        <w:rPr>
          <w:sz w:val="22"/>
          <w:szCs w:val="22"/>
          <w:lang w:eastAsia="en-US"/>
        </w:rPr>
        <w:t xml:space="preserve">inistar financija je 19. svibnja 2025. donio posebnu </w:t>
      </w:r>
      <w:r w:rsidRPr="002F4F28">
        <w:rPr>
          <w:sz w:val="22"/>
          <w:szCs w:val="22"/>
          <w:lang w:eastAsia="en-US"/>
        </w:rPr>
        <w:lastRenderedPageBreak/>
        <w:t>Uputu za oznake izvora financiranja sredstava iz EU</w:t>
      </w:r>
      <w:r>
        <w:rPr>
          <w:sz w:val="22"/>
          <w:szCs w:val="22"/>
          <w:lang w:eastAsia="en-US"/>
        </w:rPr>
        <w:t xml:space="preserve"> kojom </w:t>
      </w:r>
      <w:r w:rsidRPr="002F4F28">
        <w:rPr>
          <w:sz w:val="22"/>
          <w:szCs w:val="22"/>
          <w:lang w:eastAsia="en-US"/>
        </w:rPr>
        <w:t>su definirane jedinstvene oznake skupina, podskupina i dodatne analitičke razine izvora financiranja za potrebe praćenja EU sredstava. Oznake utvrđene u Uputi primjenjuju se u planiranju i izvršavanju proračuna i financijskih planova počevši od proračunskog ciklusa za razdoblje 2026. – 2028., a u računovodstvenim evidencijama od 1. siječnja 2026. godine</w:t>
      </w:r>
      <w:r w:rsidR="000F2B00">
        <w:rPr>
          <w:sz w:val="22"/>
          <w:szCs w:val="22"/>
          <w:lang w:eastAsia="en-US"/>
        </w:rPr>
        <w:t xml:space="preserve">. </w:t>
      </w:r>
      <w:r w:rsidR="000F2B00" w:rsidRPr="000F2B00">
        <w:rPr>
          <w:sz w:val="22"/>
          <w:szCs w:val="22"/>
          <w:lang w:eastAsia="en-US"/>
        </w:rPr>
        <w:t>Sve navedeno definirano je i Pravilnikom o izmjenama i dopunama pravilnika o proračunskim klasifikacijama (NN 122/25).</w:t>
      </w:r>
    </w:p>
    <w:p w14:paraId="6BFC51E9" w14:textId="635EB2B7" w:rsidR="002F4F28" w:rsidRPr="002F4F28" w:rsidRDefault="002F4F28" w:rsidP="002F4F2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C555441" w14:textId="77777777" w:rsidR="009D794F" w:rsidRPr="002F4F28" w:rsidRDefault="009D794F" w:rsidP="001A1C50">
      <w:pPr>
        <w:jc w:val="both"/>
        <w:rPr>
          <w:sz w:val="22"/>
          <w:szCs w:val="22"/>
        </w:rPr>
      </w:pPr>
    </w:p>
    <w:p w14:paraId="7B2517E7" w14:textId="34286C9E" w:rsidR="00E048E0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048E0" w:rsidRPr="00E048E0">
        <w:rPr>
          <w:rFonts w:ascii="Times New Roman" w:hAnsi="Times New Roman" w:cs="Times New Roman"/>
          <w:b w:val="0"/>
          <w:sz w:val="22"/>
          <w:szCs w:val="22"/>
        </w:rPr>
        <w:t>Prioritetni ciljevi su pružanje kvalitetnog odgoja i osnovnog obrazovanja korisnika s tjelesnom invalidnosti i kroničnim bolestima, s većim teškoćama u razvoju, pripremanje učenika za nastavak obrazovanja/osposobljavanja i uspješno uključivanje u svijet rada.</w:t>
      </w:r>
    </w:p>
    <w:p w14:paraId="3B3D7999" w14:textId="77777777" w:rsidR="00553ED5" w:rsidRDefault="00553ED5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05CD17C" w14:textId="6EEB0012" w:rsidR="00C66E7D" w:rsidRDefault="00553ED5" w:rsidP="00C66E7D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  <w:r w:rsidRPr="00553ED5">
        <w:rPr>
          <w:rFonts w:ascii="Times New Roman" w:hAnsi="Times New Roman" w:cs="Times New Roman"/>
          <w:b w:val="0"/>
          <w:sz w:val="22"/>
          <w:szCs w:val="22"/>
          <w:u w:val="single"/>
        </w:rPr>
        <w:t>Način ostvarenja cilja</w:t>
      </w:r>
      <w:r w:rsidRPr="008323C2">
        <w:rPr>
          <w:rFonts w:ascii="Times New Roman" w:hAnsi="Times New Roman" w:cs="Times New Roman"/>
          <w:b w:val="0"/>
          <w:sz w:val="22"/>
          <w:szCs w:val="22"/>
          <w:u w:val="single"/>
        </w:rPr>
        <w:t>:</w:t>
      </w:r>
      <w:r w:rsidRPr="008323C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048E0" w:rsidRPr="008323C2">
        <w:rPr>
          <w:rFonts w:ascii="Times New Roman" w:hAnsi="Times New Roman" w:cs="Times New Roman"/>
          <w:b w:val="0"/>
          <w:sz w:val="22"/>
          <w:szCs w:val="22"/>
        </w:rPr>
        <w:t>Programima odgojno-obrazovnog i rehabilitacijskog rada za korisnike, odnosno djecu s motoričkim teškoćama i višestrukim oštećenjima. Područje "učenje i primjena znanja" - specifični rehabilitacijski programi (motoričke, perceptivne i senzomotoričke vježbe, socijalizacija i komunikacija, samozbrinjavanje, savladavanje barijera, prevencija neprihvatljivih oblika ponašanja, ublažavanje emocionalnih smetnji i poremećaja u ponašanju, korištenje</w:t>
      </w:r>
      <w:r w:rsidR="00E63121" w:rsidRPr="008323C2">
        <w:rPr>
          <w:rFonts w:ascii="Times New Roman" w:hAnsi="Times New Roman" w:cs="Times New Roman"/>
          <w:b w:val="0"/>
          <w:sz w:val="22"/>
          <w:szCs w:val="22"/>
        </w:rPr>
        <w:t xml:space="preserve"> suvremene asistivne i</w:t>
      </w:r>
      <w:r w:rsidR="00E048E0" w:rsidRPr="008323C2">
        <w:rPr>
          <w:rFonts w:ascii="Times New Roman" w:hAnsi="Times New Roman" w:cs="Times New Roman"/>
          <w:b w:val="0"/>
          <w:sz w:val="22"/>
          <w:szCs w:val="22"/>
        </w:rPr>
        <w:t xml:space="preserve"> informatičke tehnologije u uč</w:t>
      </w:r>
      <w:r w:rsidR="007D11CA" w:rsidRPr="008323C2">
        <w:rPr>
          <w:rFonts w:ascii="Times New Roman" w:hAnsi="Times New Roman" w:cs="Times New Roman"/>
          <w:b w:val="0"/>
          <w:sz w:val="22"/>
          <w:szCs w:val="22"/>
        </w:rPr>
        <w:t xml:space="preserve">enju). U Centru se provodi i </w:t>
      </w:r>
      <w:r w:rsidR="00E048E0" w:rsidRPr="008323C2">
        <w:rPr>
          <w:rFonts w:ascii="Times New Roman" w:hAnsi="Times New Roman" w:cs="Times New Roman"/>
          <w:b w:val="0"/>
          <w:sz w:val="22"/>
          <w:szCs w:val="22"/>
        </w:rPr>
        <w:t>program "Program provođenja alternativne i augmentativne komunikacije</w:t>
      </w:r>
      <w:r w:rsidR="007D11CA" w:rsidRPr="008323C2">
        <w:rPr>
          <w:rFonts w:ascii="Times New Roman" w:hAnsi="Times New Roman" w:cs="Times New Roman"/>
          <w:b w:val="0"/>
          <w:sz w:val="22"/>
          <w:szCs w:val="22"/>
        </w:rPr>
        <w:t>“</w:t>
      </w:r>
      <w:r w:rsidR="00E048E0" w:rsidRPr="008323C2">
        <w:rPr>
          <w:rFonts w:ascii="Times New Roman" w:hAnsi="Times New Roman" w:cs="Times New Roman"/>
          <w:b w:val="0"/>
          <w:sz w:val="22"/>
          <w:szCs w:val="22"/>
        </w:rPr>
        <w:t>, koji ide u korak s trenutno razvijenom teh</w:t>
      </w:r>
      <w:r w:rsidR="001634C7" w:rsidRPr="008323C2">
        <w:rPr>
          <w:rFonts w:ascii="Times New Roman" w:hAnsi="Times New Roman" w:cs="Times New Roman"/>
          <w:b w:val="0"/>
          <w:sz w:val="22"/>
          <w:szCs w:val="22"/>
        </w:rPr>
        <w:t>nologijom i pruža velike mogućno</w:t>
      </w:r>
      <w:r w:rsidR="00E048E0" w:rsidRPr="008323C2">
        <w:rPr>
          <w:rFonts w:ascii="Times New Roman" w:hAnsi="Times New Roman" w:cs="Times New Roman"/>
          <w:b w:val="0"/>
          <w:sz w:val="22"/>
          <w:szCs w:val="22"/>
        </w:rPr>
        <w:t xml:space="preserve">sti kako u radu s učenicima tako i u njihovom svakodnevnom životu u budućnosti. Sadržaji svih programa koji se provode u Centru imaju rehabilitacijski i okupacijski karakter i razvijanje osobnih potencijala svakog djeteta kroz kreativne, sportske i znanstvene aktivnosti, a cilj im je sprječavanje i ublažavanje utjecaja hospitalizacije na djecu, prevenciju neprihvatljivih oblika ponašanja i afirmacija djece s tjelesnom invalidnošću te stvaranje pozitivnih stavova okoline prema njima kao i njih samih prema sebi. </w:t>
      </w:r>
      <w:r w:rsidR="00E048E0" w:rsidRPr="00E048E0">
        <w:rPr>
          <w:rFonts w:ascii="Times New Roman" w:hAnsi="Times New Roman" w:cs="Times New Roman"/>
          <w:b w:val="0"/>
          <w:sz w:val="22"/>
          <w:szCs w:val="22"/>
        </w:rPr>
        <w:t>Također, učenike će se i dalje poticati na izražavanje kreativnosti, talenata i sposobnosti kroz uključivanje u izvannastavne aktivnosti, natjecanja, te druge školske projekte, priredbe i manifestacije. Nastojat ćemo i u narednoj godini podizati kvalitetu odgoja i obrazovanja na višu razinu kroz stručna usavršavanja naših zaposlenika (sudjelovanje na seminarima, stručnim skupovima, radionicama, konferencijama), podizanjem materijalnih i drugih uvjeta na što je moguće viši standard, a sve to u skladu s našim limitima potroš</w:t>
      </w:r>
      <w:r w:rsidR="00633DC0">
        <w:rPr>
          <w:rFonts w:ascii="Times New Roman" w:hAnsi="Times New Roman" w:cs="Times New Roman"/>
          <w:b w:val="0"/>
          <w:sz w:val="22"/>
          <w:szCs w:val="22"/>
        </w:rPr>
        <w:t>nje prema Planu računu prihoda i rashoda poslovanja</w:t>
      </w:r>
      <w:r w:rsidR="001634C7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E048E0" w:rsidRPr="00E048E0">
        <w:rPr>
          <w:rFonts w:ascii="Times New Roman" w:hAnsi="Times New Roman" w:cs="Times New Roman"/>
          <w:b w:val="0"/>
          <w:sz w:val="22"/>
          <w:szCs w:val="22"/>
        </w:rPr>
        <w:t>Učenike će se poticati na slobodno izražavanje kreativnosti i sposobnosti kroz uključivanje u slobodne aktivnosti</w:t>
      </w:r>
      <w:r w:rsidR="00EA1552">
        <w:rPr>
          <w:rFonts w:ascii="Times New Roman" w:hAnsi="Times New Roman" w:cs="Times New Roman"/>
          <w:b w:val="0"/>
          <w:sz w:val="22"/>
          <w:szCs w:val="22"/>
        </w:rPr>
        <w:t xml:space="preserve">, školska natjecanja i priredbe. </w:t>
      </w:r>
      <w:r w:rsidR="00E048E0" w:rsidRPr="00E048E0">
        <w:rPr>
          <w:rFonts w:ascii="Times New Roman" w:hAnsi="Times New Roman" w:cs="Times New Roman"/>
          <w:b w:val="0"/>
          <w:sz w:val="22"/>
          <w:szCs w:val="22"/>
        </w:rPr>
        <w:t xml:space="preserve">Slobodne aktivnosti biti će organizirane putem izvannastavnih </w:t>
      </w:r>
      <w:r w:rsidR="00EA1552">
        <w:rPr>
          <w:rFonts w:ascii="Times New Roman" w:hAnsi="Times New Roman" w:cs="Times New Roman"/>
          <w:b w:val="0"/>
          <w:sz w:val="22"/>
          <w:szCs w:val="22"/>
        </w:rPr>
        <w:t>aktivnosti.</w:t>
      </w:r>
      <w:r w:rsidR="00E048E0" w:rsidRPr="00E048E0">
        <w:rPr>
          <w:rFonts w:ascii="Times New Roman" w:hAnsi="Times New Roman" w:cs="Times New Roman"/>
          <w:b w:val="0"/>
          <w:sz w:val="22"/>
          <w:szCs w:val="22"/>
        </w:rPr>
        <w:t xml:space="preserve"> Rad skupina u slobodnim aktivnostima predstavljati će se putem školskih događanja koji su navedeni u Školskom kurikulumu.</w:t>
      </w:r>
    </w:p>
    <w:p w14:paraId="67A294F8" w14:textId="77777777" w:rsidR="009C6CBA" w:rsidRDefault="009C6CBA" w:rsidP="00C66E7D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</w:p>
    <w:p w14:paraId="77954155" w14:textId="77777777" w:rsidR="009B78F2" w:rsidRDefault="009B78F2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01AA0123" w14:textId="77777777" w:rsidR="009516AC" w:rsidRDefault="009516AC" w:rsidP="009B175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67B9DC" w14:textId="2A15E28E" w:rsidR="009516AC" w:rsidRPr="009516AC" w:rsidRDefault="009516AC" w:rsidP="009B17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16AC">
        <w:rPr>
          <w:color w:val="231F20"/>
          <w:sz w:val="22"/>
          <w:szCs w:val="22"/>
          <w:shd w:val="clear" w:color="auto" w:fill="FFFFFF"/>
        </w:rPr>
        <w:t>Županijama, Gradu Zagrebu i gradovima utvrđuju se bilančna prava za financiranje materijalnih i financijskih rashoda, rashoda za tekuće i investicijsko održavanje te rashoda za nabavu proizvedene dugotrajne imovine i dodatna ulaganja na nefinancijskoj imovini osnovnog školstva u visini koja osigurava minimalni financijski standard osnovnih škola</w:t>
      </w:r>
      <w:r>
        <w:rPr>
          <w:color w:val="231F20"/>
          <w:sz w:val="22"/>
          <w:szCs w:val="22"/>
          <w:shd w:val="clear" w:color="auto" w:fill="FFFFFF"/>
        </w:rPr>
        <w:t>.</w:t>
      </w:r>
    </w:p>
    <w:p w14:paraId="096584E4" w14:textId="6AD7E83A" w:rsidR="009B1758" w:rsidRPr="009B1758" w:rsidRDefault="009B1758" w:rsidP="009B17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B1758">
        <w:rPr>
          <w:sz w:val="22"/>
          <w:szCs w:val="22"/>
        </w:rPr>
        <w:t xml:space="preserve">Gradska upravna tijela koja su nadležna za decentralizirane funkcije, samostalno </w:t>
      </w:r>
      <w:r w:rsidR="009516AC">
        <w:rPr>
          <w:sz w:val="22"/>
          <w:szCs w:val="22"/>
        </w:rPr>
        <w:t>određuju</w:t>
      </w:r>
      <w:r w:rsidRPr="009B1758">
        <w:rPr>
          <w:sz w:val="22"/>
          <w:szCs w:val="22"/>
        </w:rPr>
        <w:t xml:space="preserve"> strukturu rashoda unutar zadanih limita za svaku pojedinu decentraliziranu funkciju i u skladu s potrebama krajnjih korisnika (ustanova). </w:t>
      </w:r>
      <w:r w:rsidR="009516AC">
        <w:rPr>
          <w:color w:val="242424"/>
        </w:rPr>
        <w:t xml:space="preserve">Limite – iznose za svaku proračunsku poziciju dostavio nam je nadležni Gradski ured za obrazovanje, sport i mlade.  </w:t>
      </w:r>
    </w:p>
    <w:p w14:paraId="74135543" w14:textId="4311A5B3" w:rsidR="009E6B6C" w:rsidRDefault="009E6B6C" w:rsidP="00A379A3">
      <w:pPr>
        <w:jc w:val="both"/>
        <w:rPr>
          <w:sz w:val="22"/>
          <w:szCs w:val="22"/>
        </w:rPr>
      </w:pPr>
    </w:p>
    <w:p w14:paraId="170EAA58" w14:textId="4B50116E" w:rsidR="008632EC" w:rsidRDefault="008632EC" w:rsidP="00A379A3">
      <w:pPr>
        <w:jc w:val="both"/>
        <w:rPr>
          <w:sz w:val="22"/>
          <w:szCs w:val="22"/>
        </w:rPr>
      </w:pPr>
      <w:r>
        <w:rPr>
          <w:sz w:val="22"/>
          <w:szCs w:val="22"/>
        </w:rPr>
        <w:t>Pozicije financijskog plana koje ne planira nadležni Gradski ured za obrazovanje, sport i mlade unutar zadanih limita, Centar planira samostalno i navedene su u nastavku.</w:t>
      </w:r>
    </w:p>
    <w:p w14:paraId="59B997B4" w14:textId="77777777" w:rsidR="00A56DE4" w:rsidRDefault="00A56DE4" w:rsidP="00A379A3">
      <w:pPr>
        <w:jc w:val="both"/>
        <w:rPr>
          <w:sz w:val="22"/>
          <w:szCs w:val="22"/>
        </w:rPr>
      </w:pPr>
    </w:p>
    <w:p w14:paraId="64713177" w14:textId="5399B8B6" w:rsidR="00A56DE4" w:rsidRDefault="00C66951" w:rsidP="009E6B6C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- </w:t>
      </w:r>
      <w:r w:rsidR="009E6B6C" w:rsidRPr="00E048E0">
        <w:rPr>
          <w:rFonts w:ascii="Times New Roman" w:hAnsi="Times New Roman" w:cs="Times New Roman"/>
          <w:b w:val="0"/>
          <w:sz w:val="22"/>
          <w:szCs w:val="22"/>
        </w:rPr>
        <w:t xml:space="preserve">nastavna sredstva i </w:t>
      </w:r>
      <w:r w:rsidR="009E6B6C">
        <w:rPr>
          <w:rFonts w:ascii="Times New Roman" w:hAnsi="Times New Roman" w:cs="Times New Roman"/>
          <w:b w:val="0"/>
          <w:sz w:val="22"/>
          <w:szCs w:val="22"/>
        </w:rPr>
        <w:t>pomagal</w:t>
      </w:r>
      <w:r w:rsidR="00C570CD">
        <w:rPr>
          <w:rFonts w:ascii="Times New Roman" w:hAnsi="Times New Roman" w:cs="Times New Roman"/>
          <w:b w:val="0"/>
          <w:sz w:val="22"/>
          <w:szCs w:val="22"/>
        </w:rPr>
        <w:t>a (</w:t>
      </w:r>
      <w:r w:rsidR="0014595E">
        <w:rPr>
          <w:rFonts w:ascii="Times New Roman" w:hAnsi="Times New Roman" w:cs="Times New Roman"/>
          <w:b w:val="0"/>
          <w:sz w:val="22"/>
          <w:szCs w:val="22"/>
        </w:rPr>
        <w:t>odjeljak</w:t>
      </w:r>
      <w:r w:rsidR="00C570CD">
        <w:rPr>
          <w:rFonts w:ascii="Times New Roman" w:hAnsi="Times New Roman" w:cs="Times New Roman"/>
          <w:b w:val="0"/>
          <w:sz w:val="22"/>
          <w:szCs w:val="22"/>
        </w:rPr>
        <w:t xml:space="preserve"> 3221</w:t>
      </w:r>
      <w:r w:rsidR="009E6B6C">
        <w:rPr>
          <w:rFonts w:ascii="Times New Roman" w:hAnsi="Times New Roman" w:cs="Times New Roman"/>
          <w:b w:val="0"/>
          <w:sz w:val="22"/>
          <w:szCs w:val="22"/>
        </w:rPr>
        <w:t>)</w:t>
      </w:r>
      <w:r w:rsidR="009E6B6C" w:rsidRPr="00E048E0">
        <w:rPr>
          <w:rFonts w:ascii="Times New Roman" w:hAnsi="Times New Roman" w:cs="Times New Roman"/>
          <w:b w:val="0"/>
          <w:sz w:val="22"/>
          <w:szCs w:val="22"/>
        </w:rPr>
        <w:t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aktivnost se financira iz državnog proračuna</w:t>
      </w:r>
      <w:r w:rsidR="00A56DE4">
        <w:rPr>
          <w:rFonts w:ascii="Times New Roman" w:hAnsi="Times New Roman" w:cs="Times New Roman"/>
          <w:b w:val="0"/>
          <w:sz w:val="22"/>
          <w:szCs w:val="22"/>
        </w:rPr>
        <w:t xml:space="preserve"> (izvor financiranja 5.2.1)</w:t>
      </w:r>
      <w:r w:rsidR="009E6B6C" w:rsidRPr="00E048E0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02A59469" w14:textId="77777777" w:rsidR="00A56DE4" w:rsidRDefault="00A56DE4" w:rsidP="009E6B6C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</w:p>
    <w:p w14:paraId="5031A119" w14:textId="1CB229E5" w:rsidR="000C7032" w:rsidRDefault="009E6B6C" w:rsidP="009E6B6C">
      <w:pPr>
        <w:pStyle w:val="Naslov1"/>
        <w:rPr>
          <w:rFonts w:ascii="Times New Roman" w:hAnsi="Times New Roman" w:cs="Times New Roman"/>
          <w:b w:val="0"/>
          <w:color w:val="548DD4" w:themeColor="text2" w:themeTint="99"/>
          <w:sz w:val="22"/>
          <w:szCs w:val="22"/>
        </w:rPr>
      </w:pPr>
      <w:r w:rsidRPr="00E048E0">
        <w:rPr>
          <w:rFonts w:ascii="Times New Roman" w:hAnsi="Times New Roman" w:cs="Times New Roman"/>
          <w:b w:val="0"/>
          <w:sz w:val="22"/>
          <w:szCs w:val="22"/>
        </w:rPr>
        <w:t>-</w:t>
      </w:r>
      <w:r w:rsidR="00C6695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>povećane troškove prijevoza djece s teškoćama u razvoju (</w:t>
      </w:r>
      <w:r w:rsidR="0014595E">
        <w:rPr>
          <w:rFonts w:ascii="Times New Roman" w:hAnsi="Times New Roman" w:cs="Times New Roman"/>
          <w:b w:val="0"/>
          <w:sz w:val="22"/>
          <w:szCs w:val="22"/>
        </w:rPr>
        <w:t>odjeljak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 3239-individualni  prijevoz roditelja, prilagođeni prijevoz učenika s teškoćama ovlaštenog prijevoznika, prijevoz učenika vlastitim kombi vozilima,</w:t>
      </w:r>
      <w:r w:rsidR="009B1758">
        <w:rPr>
          <w:rFonts w:ascii="Times New Roman" w:hAnsi="Times New Roman" w:cs="Times New Roman"/>
          <w:b w:val="0"/>
          <w:sz w:val="22"/>
          <w:szCs w:val="22"/>
        </w:rPr>
        <w:t xml:space="preserve"> usluge pri registraciji prijevoznih sredstava,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 3223-troškovi dizel goriva vlastitih kombi vozila,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3224-materijal i dijelovi za 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>tekuće održavanje vlastitih kombi vozila,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>3225-gume za vlastita kombi vozila,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>3231-GPS nadzo</w:t>
      </w:r>
      <w:r>
        <w:rPr>
          <w:rFonts w:ascii="Times New Roman" w:hAnsi="Times New Roman" w:cs="Times New Roman"/>
          <w:b w:val="0"/>
          <w:sz w:val="22"/>
          <w:szCs w:val="22"/>
        </w:rPr>
        <w:t>r vlastitih kombi vozila,3232-usluge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 tekuće</w:t>
      </w:r>
      <w:r>
        <w:rPr>
          <w:rFonts w:ascii="Times New Roman" w:hAnsi="Times New Roman" w:cs="Times New Roman"/>
          <w:b w:val="0"/>
          <w:sz w:val="22"/>
          <w:szCs w:val="22"/>
        </w:rPr>
        <w:t>g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 održavanj</w:t>
      </w:r>
      <w:r w:rsidR="00DF4CED">
        <w:rPr>
          <w:rFonts w:ascii="Times New Roman" w:hAnsi="Times New Roman" w:cs="Times New Roman"/>
          <w:b w:val="0"/>
          <w:sz w:val="22"/>
          <w:szCs w:val="22"/>
        </w:rPr>
        <w:t>a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 vlastitih kombi vozila</w:t>
      </w:r>
      <w:r w:rsidR="009B1758">
        <w:rPr>
          <w:rFonts w:ascii="Times New Roman" w:hAnsi="Times New Roman" w:cs="Times New Roman"/>
          <w:b w:val="0"/>
          <w:sz w:val="22"/>
          <w:szCs w:val="22"/>
        </w:rPr>
        <w:t xml:space="preserve">, 3292-premije osiguranja </w:t>
      </w:r>
      <w:r w:rsidR="00AF3840">
        <w:rPr>
          <w:rFonts w:ascii="Times New Roman" w:hAnsi="Times New Roman" w:cs="Times New Roman"/>
          <w:b w:val="0"/>
          <w:sz w:val="22"/>
          <w:szCs w:val="22"/>
        </w:rPr>
        <w:t>vlastitih kombi vozila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>)</w:t>
      </w:r>
      <w:r w:rsidR="00257770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C66951">
        <w:rPr>
          <w:rFonts w:ascii="Times New Roman" w:hAnsi="Times New Roman" w:cs="Times New Roman"/>
          <w:b w:val="0"/>
          <w:sz w:val="22"/>
          <w:szCs w:val="22"/>
        </w:rPr>
        <w:t xml:space="preserve">Aktivnost se financira iz </w:t>
      </w:r>
      <w:r w:rsidR="00B53123">
        <w:rPr>
          <w:rFonts w:ascii="Times New Roman" w:hAnsi="Times New Roman" w:cs="Times New Roman"/>
          <w:b w:val="0"/>
          <w:sz w:val="22"/>
          <w:szCs w:val="22"/>
        </w:rPr>
        <w:t>izvora financiranja 5.2.1.</w:t>
      </w:r>
    </w:p>
    <w:p w14:paraId="2818C5C0" w14:textId="6569829D" w:rsidR="009E6B6C" w:rsidRDefault="009E6B6C" w:rsidP="009E6B6C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</w:p>
    <w:p w14:paraId="55BBA18E" w14:textId="048B3396" w:rsidR="009E6B6C" w:rsidRDefault="009E6B6C" w:rsidP="009E6B6C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Rashodi za zaposlene (plaće </w:t>
      </w:r>
      <w:r w:rsidR="0014595E">
        <w:rPr>
          <w:rFonts w:ascii="Times New Roman" w:hAnsi="Times New Roman" w:cs="Times New Roman"/>
          <w:b w:val="0"/>
          <w:sz w:val="22"/>
          <w:szCs w:val="22"/>
        </w:rPr>
        <w:t xml:space="preserve">odjeljci 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3111,3113,3114, ostali rashodi za zaposlene </w:t>
      </w:r>
      <w:r w:rsidR="0014595E">
        <w:rPr>
          <w:rFonts w:ascii="Times New Roman" w:hAnsi="Times New Roman" w:cs="Times New Roman"/>
          <w:b w:val="0"/>
          <w:sz w:val="22"/>
          <w:szCs w:val="22"/>
        </w:rPr>
        <w:t>odjeljak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 3121,doprinosi na plaće </w:t>
      </w:r>
      <w:r w:rsidR="0014595E">
        <w:rPr>
          <w:rFonts w:ascii="Times New Roman" w:hAnsi="Times New Roman" w:cs="Times New Roman"/>
          <w:b w:val="0"/>
          <w:sz w:val="22"/>
          <w:szCs w:val="22"/>
        </w:rPr>
        <w:t>odjeljak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 xml:space="preserve"> 3132</w:t>
      </w:r>
      <w:r w:rsidR="00C570CD">
        <w:rPr>
          <w:rFonts w:ascii="Times New Roman" w:hAnsi="Times New Roman" w:cs="Times New Roman"/>
          <w:b w:val="0"/>
          <w:sz w:val="22"/>
          <w:szCs w:val="22"/>
        </w:rPr>
        <w:t>, naknade za prijevoz</w:t>
      </w:r>
      <w:r w:rsidR="003969F1">
        <w:rPr>
          <w:rFonts w:ascii="Times New Roman" w:hAnsi="Times New Roman" w:cs="Times New Roman"/>
          <w:b w:val="0"/>
          <w:sz w:val="22"/>
          <w:szCs w:val="22"/>
        </w:rPr>
        <w:t xml:space="preserve"> na posao i s posla</w:t>
      </w:r>
      <w:r w:rsidR="00C570CD">
        <w:rPr>
          <w:rFonts w:ascii="Times New Roman" w:hAnsi="Times New Roman" w:cs="Times New Roman"/>
          <w:b w:val="0"/>
          <w:sz w:val="22"/>
          <w:szCs w:val="22"/>
        </w:rPr>
        <w:t xml:space="preserve"> na </w:t>
      </w:r>
      <w:r w:rsidR="0014595E">
        <w:rPr>
          <w:rFonts w:ascii="Times New Roman" w:hAnsi="Times New Roman" w:cs="Times New Roman"/>
          <w:b w:val="0"/>
          <w:sz w:val="22"/>
          <w:szCs w:val="22"/>
        </w:rPr>
        <w:t>odjeljku</w:t>
      </w:r>
      <w:r w:rsidR="00C570CD">
        <w:rPr>
          <w:rFonts w:ascii="Times New Roman" w:hAnsi="Times New Roman" w:cs="Times New Roman"/>
          <w:b w:val="0"/>
          <w:sz w:val="22"/>
          <w:szCs w:val="22"/>
        </w:rPr>
        <w:t xml:space="preserve"> 3212</w:t>
      </w:r>
      <w:r w:rsidR="00C63B88" w:rsidRPr="00C63B88">
        <w:rPr>
          <w:rFonts w:ascii="Times New Roman" w:hAnsi="Times New Roman" w:cs="Times New Roman"/>
          <w:b w:val="0"/>
          <w:sz w:val="22"/>
          <w:szCs w:val="22"/>
        </w:rPr>
        <w:t xml:space="preserve">, novčana naknada zbog neispunjenja obveze kvotnog zapošljavanja osoba s invaliditetom </w:t>
      </w:r>
      <w:r w:rsidR="00DF4CED">
        <w:rPr>
          <w:rFonts w:ascii="Times New Roman" w:hAnsi="Times New Roman" w:cs="Times New Roman"/>
          <w:b w:val="0"/>
          <w:sz w:val="22"/>
          <w:szCs w:val="22"/>
        </w:rPr>
        <w:t xml:space="preserve">na </w:t>
      </w:r>
      <w:r w:rsidR="0014595E">
        <w:rPr>
          <w:rFonts w:ascii="Times New Roman" w:hAnsi="Times New Roman" w:cs="Times New Roman"/>
          <w:b w:val="0"/>
          <w:sz w:val="22"/>
          <w:szCs w:val="22"/>
        </w:rPr>
        <w:t>odjelj</w:t>
      </w:r>
      <w:r w:rsidR="00DF4CED">
        <w:rPr>
          <w:rFonts w:ascii="Times New Roman" w:hAnsi="Times New Roman" w:cs="Times New Roman"/>
          <w:b w:val="0"/>
          <w:sz w:val="22"/>
          <w:szCs w:val="22"/>
        </w:rPr>
        <w:t>ku</w:t>
      </w:r>
      <w:r w:rsidR="00C63B88" w:rsidRPr="00C63B88">
        <w:rPr>
          <w:rFonts w:ascii="Times New Roman" w:hAnsi="Times New Roman" w:cs="Times New Roman"/>
          <w:b w:val="0"/>
          <w:sz w:val="22"/>
          <w:szCs w:val="22"/>
        </w:rPr>
        <w:t xml:space="preserve"> 3295</w:t>
      </w:r>
      <w:r w:rsidRPr="00E048E0">
        <w:rPr>
          <w:rFonts w:ascii="Times New Roman" w:hAnsi="Times New Roman" w:cs="Times New Roman"/>
          <w:b w:val="0"/>
          <w:sz w:val="22"/>
          <w:szCs w:val="22"/>
        </w:rPr>
        <w:t>) financiraju se iz Državnog proračuna</w:t>
      </w:r>
      <w:r w:rsidR="007046EA">
        <w:rPr>
          <w:rFonts w:ascii="Times New Roman" w:hAnsi="Times New Roman" w:cs="Times New Roman"/>
          <w:b w:val="0"/>
          <w:sz w:val="22"/>
          <w:szCs w:val="22"/>
        </w:rPr>
        <w:t>, izvor financiranja 5.2.1.</w:t>
      </w:r>
    </w:p>
    <w:p w14:paraId="00912AF5" w14:textId="317FC5CE" w:rsidR="009E6B6C" w:rsidRPr="002C2140" w:rsidRDefault="009E6B6C" w:rsidP="009E6B6C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</w:p>
    <w:p w14:paraId="3B0CFAD1" w14:textId="4BB843FE" w:rsidR="00A31FE8" w:rsidRDefault="00A31FE8" w:rsidP="002C2140">
      <w:pPr>
        <w:rPr>
          <w:b/>
          <w:sz w:val="22"/>
          <w:szCs w:val="22"/>
        </w:rPr>
      </w:pPr>
      <w:r w:rsidRPr="00A31FE8">
        <w:rPr>
          <w:b/>
          <w:sz w:val="22"/>
          <w:szCs w:val="22"/>
        </w:rPr>
        <w:t>Aktivnost A02 3109 A310904 SUFINANCIRANJE PREHRANE</w:t>
      </w:r>
    </w:p>
    <w:p w14:paraId="77A73040" w14:textId="77777777" w:rsidR="00A31FE8" w:rsidRPr="00A31FE8" w:rsidRDefault="00A31FE8" w:rsidP="002C2140">
      <w:pPr>
        <w:rPr>
          <w:b/>
          <w:sz w:val="22"/>
          <w:szCs w:val="22"/>
        </w:rPr>
      </w:pPr>
    </w:p>
    <w:p w14:paraId="2DCB0AE2" w14:textId="10962D8F" w:rsidR="00910885" w:rsidRPr="00A31FE8" w:rsidRDefault="00A31FE8" w:rsidP="002C2140">
      <w:pPr>
        <w:rPr>
          <w:sz w:val="22"/>
          <w:szCs w:val="22"/>
        </w:rPr>
      </w:pPr>
      <w:r>
        <w:rPr>
          <w:sz w:val="22"/>
          <w:szCs w:val="22"/>
        </w:rPr>
        <w:t xml:space="preserve">Aktivnost </w:t>
      </w:r>
      <w:r w:rsidRPr="00A31FE8">
        <w:rPr>
          <w:sz w:val="22"/>
          <w:szCs w:val="22"/>
        </w:rPr>
        <w:t>sufinanciranj</w:t>
      </w:r>
      <w:r>
        <w:rPr>
          <w:sz w:val="22"/>
          <w:szCs w:val="22"/>
        </w:rPr>
        <w:t>a</w:t>
      </w:r>
      <w:r w:rsidRPr="00A31FE8">
        <w:rPr>
          <w:sz w:val="22"/>
          <w:szCs w:val="22"/>
        </w:rPr>
        <w:t xml:space="preserve"> prehrane učenik</w:t>
      </w:r>
      <w:r>
        <w:rPr>
          <w:sz w:val="22"/>
          <w:szCs w:val="22"/>
        </w:rPr>
        <w:t xml:space="preserve">a s teškoćama je planirana na </w:t>
      </w:r>
      <w:r w:rsidRPr="00A31FE8">
        <w:rPr>
          <w:sz w:val="22"/>
          <w:szCs w:val="22"/>
        </w:rPr>
        <w:t>odjelj</w:t>
      </w:r>
      <w:r>
        <w:rPr>
          <w:sz w:val="22"/>
          <w:szCs w:val="22"/>
        </w:rPr>
        <w:t>ku</w:t>
      </w:r>
      <w:r w:rsidRPr="00A31FE8">
        <w:rPr>
          <w:sz w:val="22"/>
          <w:szCs w:val="22"/>
        </w:rPr>
        <w:t xml:space="preserve"> 3222</w:t>
      </w:r>
      <w:r w:rsidR="009A12A3">
        <w:rPr>
          <w:sz w:val="22"/>
          <w:szCs w:val="22"/>
        </w:rPr>
        <w:t xml:space="preserve"> i 3239</w:t>
      </w:r>
      <w:r>
        <w:rPr>
          <w:sz w:val="22"/>
          <w:szCs w:val="22"/>
        </w:rPr>
        <w:t>, izvor financiranja 5.2.1. (pomoći iz drugih proračuna). Aktivnost se financira iz državnog proračuna</w:t>
      </w:r>
      <w:r w:rsidR="00C66951">
        <w:rPr>
          <w:sz w:val="22"/>
          <w:szCs w:val="22"/>
        </w:rPr>
        <w:t>.</w:t>
      </w:r>
    </w:p>
    <w:p w14:paraId="7B5C8791" w14:textId="77777777" w:rsidR="00A31FE8" w:rsidRDefault="00A31FE8" w:rsidP="00910885">
      <w:pPr>
        <w:jc w:val="both"/>
        <w:rPr>
          <w:b/>
          <w:bCs/>
          <w:sz w:val="22"/>
          <w:szCs w:val="22"/>
        </w:rPr>
      </w:pPr>
    </w:p>
    <w:p w14:paraId="7ECB730F" w14:textId="1EBAB272" w:rsidR="00910885" w:rsidRPr="002221E7" w:rsidRDefault="00910885" w:rsidP="00910885">
      <w:pPr>
        <w:jc w:val="both"/>
        <w:rPr>
          <w:b/>
          <w:bCs/>
          <w:sz w:val="22"/>
          <w:szCs w:val="22"/>
        </w:rPr>
      </w:pPr>
      <w:r w:rsidRPr="002221E7">
        <w:rPr>
          <w:b/>
          <w:bCs/>
          <w:sz w:val="22"/>
          <w:szCs w:val="22"/>
        </w:rPr>
        <w:t>Aktivnost A02 3109 T310906 BESPLATNE MENSTRUALNE POTREPŠTINE</w:t>
      </w:r>
    </w:p>
    <w:p w14:paraId="6EDFF83F" w14:textId="77777777" w:rsidR="003969F1" w:rsidRDefault="003969F1" w:rsidP="003969F1">
      <w:pPr>
        <w:rPr>
          <w:bCs/>
          <w:sz w:val="22"/>
          <w:szCs w:val="22"/>
        </w:rPr>
      </w:pPr>
    </w:p>
    <w:p w14:paraId="1793664B" w14:textId="0CC7FA74" w:rsidR="003969F1" w:rsidRDefault="003969F1" w:rsidP="003969F1">
      <w:pPr>
        <w:rPr>
          <w:b/>
          <w:sz w:val="22"/>
          <w:szCs w:val="22"/>
        </w:rPr>
      </w:pPr>
      <w:r>
        <w:rPr>
          <w:bCs/>
          <w:sz w:val="22"/>
          <w:szCs w:val="22"/>
        </w:rPr>
        <w:t>Tekuće donacije u naravi (odjeljak 3812) odnosi se na dodjelu sredstva radi opskrbe školskih ustanova besplatnim zalihama higijenskih potrepština,</w:t>
      </w:r>
    </w:p>
    <w:p w14:paraId="4015D8C8" w14:textId="274BEC95" w:rsidR="00910885" w:rsidRDefault="003D189A" w:rsidP="00910885">
      <w:pPr>
        <w:jc w:val="both"/>
        <w:rPr>
          <w:sz w:val="22"/>
          <w:szCs w:val="22"/>
        </w:rPr>
      </w:pPr>
      <w:r>
        <w:rPr>
          <w:sz w:val="22"/>
          <w:szCs w:val="22"/>
        </w:rPr>
        <w:t>Aktivnost je planirana n</w:t>
      </w:r>
      <w:r w:rsidR="00910885" w:rsidRPr="00910885">
        <w:rPr>
          <w:sz w:val="22"/>
          <w:szCs w:val="22"/>
        </w:rPr>
        <w:t>a odjeljku 3812, izvor financiranja 5.2.1 (pomoći iz drugih proračuna)</w:t>
      </w:r>
      <w:r w:rsidR="0091088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0" w:name="_Hlk181183943"/>
      <w:r w:rsidR="00910885" w:rsidRPr="00910885">
        <w:rPr>
          <w:sz w:val="22"/>
          <w:szCs w:val="22"/>
        </w:rPr>
        <w:t>Aktivnost se financira iz državnog proračuna.</w:t>
      </w:r>
      <w:bookmarkEnd w:id="0"/>
    </w:p>
    <w:p w14:paraId="74BAEDF5" w14:textId="4247B695" w:rsidR="002221E7" w:rsidRDefault="002221E7" w:rsidP="00910885">
      <w:pPr>
        <w:jc w:val="both"/>
        <w:rPr>
          <w:sz w:val="22"/>
          <w:szCs w:val="22"/>
        </w:rPr>
      </w:pPr>
    </w:p>
    <w:p w14:paraId="54343F3B" w14:textId="782E34E1" w:rsidR="002221E7" w:rsidRDefault="002221E7" w:rsidP="00910885">
      <w:pPr>
        <w:jc w:val="both"/>
        <w:rPr>
          <w:b/>
          <w:bCs/>
          <w:sz w:val="22"/>
          <w:szCs w:val="22"/>
        </w:rPr>
      </w:pPr>
      <w:r w:rsidRPr="002221E7">
        <w:rPr>
          <w:b/>
          <w:bCs/>
          <w:sz w:val="22"/>
          <w:szCs w:val="22"/>
        </w:rPr>
        <w:t>Aktivnost A0 23109 K310901 ODRŽAVANJE I OPREMANJE OSNOVNIH ŠKOLA</w:t>
      </w:r>
    </w:p>
    <w:p w14:paraId="1FAF9A5F" w14:textId="2EC1E117" w:rsidR="003D189A" w:rsidRDefault="003D189A" w:rsidP="00910885">
      <w:pPr>
        <w:jc w:val="both"/>
        <w:rPr>
          <w:b/>
          <w:bCs/>
          <w:sz w:val="22"/>
          <w:szCs w:val="22"/>
        </w:rPr>
      </w:pPr>
    </w:p>
    <w:p w14:paraId="547C6796" w14:textId="462D280E" w:rsidR="002C6E52" w:rsidRDefault="003D189A" w:rsidP="003D189A">
      <w:pPr>
        <w:jc w:val="both"/>
        <w:rPr>
          <w:sz w:val="22"/>
          <w:szCs w:val="22"/>
        </w:rPr>
      </w:pPr>
      <w:r>
        <w:rPr>
          <w:sz w:val="22"/>
          <w:szCs w:val="22"/>
        </w:rPr>
        <w:t>Aktivnost je planirana na odjelj</w:t>
      </w:r>
      <w:r w:rsidR="002C6E52">
        <w:rPr>
          <w:sz w:val="22"/>
          <w:szCs w:val="22"/>
        </w:rPr>
        <w:t>cima 4221,</w:t>
      </w:r>
      <w:r w:rsidR="00D65C0F">
        <w:rPr>
          <w:sz w:val="22"/>
          <w:szCs w:val="22"/>
        </w:rPr>
        <w:t xml:space="preserve"> </w:t>
      </w:r>
      <w:r w:rsidR="002C6E52">
        <w:rPr>
          <w:sz w:val="22"/>
          <w:szCs w:val="22"/>
        </w:rPr>
        <w:t>4227</w:t>
      </w:r>
      <w:r w:rsidR="00BF32D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4241, izvor financiranja 5.2.1 (pomoći iz drugih proračuna). </w:t>
      </w:r>
    </w:p>
    <w:p w14:paraId="3BBD35F3" w14:textId="6B3E0AB1" w:rsidR="002C6E52" w:rsidRDefault="002C6E52" w:rsidP="003D189A">
      <w:pPr>
        <w:jc w:val="both"/>
        <w:rPr>
          <w:sz w:val="22"/>
          <w:szCs w:val="22"/>
        </w:rPr>
      </w:pPr>
      <w:r w:rsidRPr="00E048E0">
        <w:rPr>
          <w:sz w:val="22"/>
          <w:szCs w:val="22"/>
        </w:rPr>
        <w:t xml:space="preserve">- posebna nastavna sredstva i </w:t>
      </w:r>
      <w:r>
        <w:rPr>
          <w:sz w:val="22"/>
          <w:szCs w:val="22"/>
        </w:rPr>
        <w:t>pomagala (</w:t>
      </w:r>
      <w:r w:rsidRPr="002C6E52">
        <w:rPr>
          <w:bCs/>
          <w:sz w:val="22"/>
          <w:szCs w:val="22"/>
        </w:rPr>
        <w:t>odjeljak</w:t>
      </w:r>
      <w:r>
        <w:rPr>
          <w:sz w:val="22"/>
          <w:szCs w:val="22"/>
        </w:rPr>
        <w:t xml:space="preserve"> 4221, 4227)</w:t>
      </w:r>
      <w:r w:rsidR="004267D0">
        <w:rPr>
          <w:sz w:val="22"/>
          <w:szCs w:val="22"/>
        </w:rPr>
        <w:t xml:space="preserve"> temeljem Odluke o kriterijima za financiranje povećanih troškova prijevoza i posebnih nastavnih sredstava i pomagala te sufinanciranja prehrane učenika s teškoćama u razvoju u osnovnoškolskim programima za školsku godinu 202</w:t>
      </w:r>
      <w:r w:rsidR="00D65C0F">
        <w:rPr>
          <w:sz w:val="22"/>
          <w:szCs w:val="22"/>
        </w:rPr>
        <w:t>5</w:t>
      </w:r>
      <w:r w:rsidR="004267D0">
        <w:rPr>
          <w:sz w:val="22"/>
          <w:szCs w:val="22"/>
        </w:rPr>
        <w:t>./202</w:t>
      </w:r>
      <w:r w:rsidR="00D65C0F">
        <w:rPr>
          <w:sz w:val="22"/>
          <w:szCs w:val="22"/>
        </w:rPr>
        <w:t>6</w:t>
      </w:r>
      <w:r w:rsidR="004267D0">
        <w:rPr>
          <w:sz w:val="22"/>
          <w:szCs w:val="22"/>
        </w:rPr>
        <w:t>.</w:t>
      </w:r>
    </w:p>
    <w:p w14:paraId="67A09646" w14:textId="350B012B" w:rsidR="0012644E" w:rsidRPr="0012644E" w:rsidRDefault="002C6E52" w:rsidP="0012644E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 nabava udžbenika za školsku godinu 202</w:t>
      </w:r>
      <w:r w:rsidR="00D65C0F">
        <w:rPr>
          <w:sz w:val="22"/>
          <w:szCs w:val="22"/>
        </w:rPr>
        <w:t>6</w:t>
      </w:r>
      <w:r>
        <w:rPr>
          <w:sz w:val="22"/>
          <w:szCs w:val="22"/>
        </w:rPr>
        <w:t>./202</w:t>
      </w:r>
      <w:r w:rsidR="00D65C0F">
        <w:rPr>
          <w:sz w:val="22"/>
          <w:szCs w:val="22"/>
        </w:rPr>
        <w:t>7</w:t>
      </w:r>
      <w:r>
        <w:rPr>
          <w:sz w:val="22"/>
          <w:szCs w:val="22"/>
        </w:rPr>
        <w:t>. (odjeljak 4241)</w:t>
      </w:r>
      <w:r w:rsidR="00D65C0F">
        <w:rPr>
          <w:sz w:val="22"/>
          <w:szCs w:val="22"/>
        </w:rPr>
        <w:t>.</w:t>
      </w:r>
      <w:r w:rsidR="0012644E">
        <w:rPr>
          <w:sz w:val="22"/>
          <w:szCs w:val="22"/>
        </w:rPr>
        <w:t xml:space="preserve"> </w:t>
      </w:r>
      <w:r w:rsidR="00D65C0F">
        <w:rPr>
          <w:sz w:val="22"/>
          <w:szCs w:val="22"/>
        </w:rPr>
        <w:t>S</w:t>
      </w:r>
      <w:r w:rsidR="0012644E" w:rsidRPr="0012644E">
        <w:rPr>
          <w:sz w:val="22"/>
          <w:szCs w:val="22"/>
        </w:rPr>
        <w:t>ukladno članku 14. Zakona o udžbenicima i drugim obrazovnim materijalima za osnovnu i srednju školu</w:t>
      </w:r>
      <w:r w:rsidR="00D65C0F">
        <w:rPr>
          <w:sz w:val="22"/>
          <w:szCs w:val="22"/>
        </w:rPr>
        <w:t xml:space="preserve"> (NN 116/18, 85/22, 92/24</w:t>
      </w:r>
      <w:r w:rsidR="0012644E">
        <w:rPr>
          <w:sz w:val="22"/>
          <w:szCs w:val="22"/>
        </w:rPr>
        <w:t>,</w:t>
      </w:r>
      <w:r w:rsidR="00D65C0F">
        <w:rPr>
          <w:sz w:val="22"/>
          <w:szCs w:val="22"/>
        </w:rPr>
        <w:t xml:space="preserve"> 105/25)</w:t>
      </w:r>
      <w:r w:rsidR="0012644E">
        <w:rPr>
          <w:sz w:val="22"/>
          <w:szCs w:val="22"/>
        </w:rPr>
        <w:t xml:space="preserve"> </w:t>
      </w:r>
      <w:r w:rsidR="0012644E" w:rsidRPr="0012644E">
        <w:rPr>
          <w:sz w:val="22"/>
          <w:szCs w:val="22"/>
        </w:rPr>
        <w:t>sredstva za nabavu udžbenika osigurana su u Državnome proračunu</w:t>
      </w:r>
    </w:p>
    <w:p w14:paraId="350EC110" w14:textId="16B1DC77" w:rsidR="002C6E52" w:rsidRDefault="002C6E52" w:rsidP="003D189A">
      <w:pPr>
        <w:jc w:val="both"/>
        <w:rPr>
          <w:sz w:val="22"/>
          <w:szCs w:val="22"/>
        </w:rPr>
      </w:pPr>
    </w:p>
    <w:p w14:paraId="12AB095A" w14:textId="667DC02D" w:rsidR="00910885" w:rsidRDefault="009E6B6C" w:rsidP="009E6B6C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  <w:r w:rsidRPr="00910885">
        <w:rPr>
          <w:rFonts w:ascii="Times New Roman" w:hAnsi="Times New Roman" w:cs="Times New Roman"/>
          <w:b w:val="0"/>
          <w:sz w:val="22"/>
          <w:szCs w:val="22"/>
        </w:rPr>
        <w:t>Svi prethodno navedeni rashodi koji se planiraju financirati iz Državnog proračuna prikazani su u Planu računa rashoda pod izvorom financiranja pomoći 5.2.1 (skupina računskog plana proračuna 63).</w:t>
      </w:r>
    </w:p>
    <w:p w14:paraId="01426335" w14:textId="6AE48819" w:rsidR="0032276B" w:rsidRDefault="0032276B" w:rsidP="0032276B"/>
    <w:p w14:paraId="5C46087D" w14:textId="53989158" w:rsidR="0032276B" w:rsidRPr="00EF4147" w:rsidRDefault="0032276B" w:rsidP="0032276B">
      <w:pPr>
        <w:rPr>
          <w:b/>
          <w:bCs/>
          <w:sz w:val="22"/>
          <w:szCs w:val="22"/>
        </w:rPr>
      </w:pPr>
      <w:r w:rsidRPr="00EF4147">
        <w:rPr>
          <w:b/>
          <w:bCs/>
          <w:sz w:val="22"/>
          <w:szCs w:val="22"/>
        </w:rPr>
        <w:t>Aktivnost A0 23109 T310903 SUFINANCIRANJE PROJEKATA PRIJAVLJENIH NA NATJEČAJE EUROPSKIH FONDOVA ILI PARTNERSTVA ZA EU FONDOVA</w:t>
      </w:r>
    </w:p>
    <w:p w14:paraId="5607BE91" w14:textId="1F0CB16A" w:rsidR="00C864F0" w:rsidRPr="00EF4147" w:rsidRDefault="00C864F0" w:rsidP="00C864F0">
      <w:pPr>
        <w:rPr>
          <w:b/>
          <w:bCs/>
          <w:sz w:val="22"/>
          <w:szCs w:val="22"/>
        </w:rPr>
      </w:pPr>
    </w:p>
    <w:p w14:paraId="44FEFE2F" w14:textId="1C601511" w:rsidR="0032276B" w:rsidRDefault="0032276B" w:rsidP="00C864F0">
      <w:pPr>
        <w:rPr>
          <w:sz w:val="22"/>
          <w:szCs w:val="22"/>
        </w:rPr>
      </w:pPr>
      <w:r>
        <w:rPr>
          <w:sz w:val="22"/>
          <w:szCs w:val="22"/>
        </w:rPr>
        <w:t>Izvor 5.1.0 (Programi Unije) planirana su sredstva koja će nam biti uplaćena temeljem Ugovora o dojeli bespovratnih sredstava za sudjelovanje Centra za odgoj i obrazovanje „Goljak“ kao partnera u programu Erasmus+, projekt 2025-1-HR01-KA122-SCH-000330558 – Nastava bez prepreka: Jednakost dalje naprijed.</w:t>
      </w:r>
    </w:p>
    <w:p w14:paraId="2D14FDA6" w14:textId="14E3C710" w:rsidR="0032276B" w:rsidRPr="0032276B" w:rsidRDefault="007D0605" w:rsidP="00C864F0">
      <w:pPr>
        <w:rPr>
          <w:sz w:val="22"/>
          <w:szCs w:val="22"/>
        </w:rPr>
      </w:pPr>
      <w:r>
        <w:rPr>
          <w:sz w:val="22"/>
          <w:szCs w:val="22"/>
        </w:rPr>
        <w:t>Rashodi su planirani temeljem budžeta projekta, na odjeljku 3211 i 3213.</w:t>
      </w:r>
    </w:p>
    <w:p w14:paraId="37A495B4" w14:textId="77777777" w:rsidR="007D0605" w:rsidRDefault="007D0605" w:rsidP="00A64F4D">
      <w:pPr>
        <w:rPr>
          <w:b/>
          <w:bCs/>
          <w:sz w:val="22"/>
          <w:szCs w:val="22"/>
        </w:rPr>
      </w:pPr>
    </w:p>
    <w:p w14:paraId="4E7D36DE" w14:textId="77777777" w:rsidR="00EF4147" w:rsidRDefault="00A64F4D" w:rsidP="007D0605">
      <w:pPr>
        <w:rPr>
          <w:b/>
          <w:bCs/>
          <w:sz w:val="22"/>
          <w:szCs w:val="22"/>
        </w:rPr>
      </w:pPr>
      <w:r w:rsidRPr="00A64F4D">
        <w:rPr>
          <w:b/>
          <w:bCs/>
          <w:sz w:val="22"/>
          <w:szCs w:val="22"/>
        </w:rPr>
        <w:t>Aktivnost A02 3109 A 310901 REDOVNA DJELATNOST PRORAČUNSKIH KORISNIKA</w:t>
      </w:r>
    </w:p>
    <w:p w14:paraId="7F7CFE6C" w14:textId="1048A8B7" w:rsidR="00910885" w:rsidRPr="007D0605" w:rsidRDefault="00557365" w:rsidP="007D060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Na izvoru 3.1.1 (vlastiti prihodi), planiraju se sredstva za rad učeničke zadruge (odjeljak 3221, 3294)</w:t>
      </w:r>
      <w:r w:rsidR="0012644E">
        <w:rPr>
          <w:sz w:val="22"/>
          <w:szCs w:val="22"/>
        </w:rPr>
        <w:t>.</w:t>
      </w:r>
    </w:p>
    <w:p w14:paraId="15D2392A" w14:textId="5F6448D3" w:rsidR="00CE51F2" w:rsidRPr="007D0605" w:rsidRDefault="00CE51F2" w:rsidP="007D0605">
      <w:pPr>
        <w:pStyle w:val="Naslov1"/>
        <w:rPr>
          <w:rFonts w:ascii="Times New Roman" w:hAnsi="Times New Roman" w:cs="Times New Roman"/>
          <w:b w:val="0"/>
          <w:sz w:val="22"/>
          <w:szCs w:val="22"/>
        </w:rPr>
      </w:pPr>
      <w:r w:rsidRPr="00CE51F2">
        <w:rPr>
          <w:rFonts w:ascii="Times New Roman" w:hAnsi="Times New Roman" w:cs="Times New Roman"/>
          <w:bCs w:val="0"/>
          <w:sz w:val="22"/>
          <w:szCs w:val="22"/>
        </w:rPr>
        <w:lastRenderedPageBreak/>
        <w:t xml:space="preserve">Procjena viška/manjka iz prethodne godine </w:t>
      </w:r>
    </w:p>
    <w:p w14:paraId="50ACBE2F" w14:textId="71194249" w:rsidR="00CE51F2" w:rsidRDefault="00CE51F2" w:rsidP="00CE51F2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 202</w:t>
      </w:r>
      <w:r w:rsidR="00D65C0F">
        <w:rPr>
          <w:rFonts w:ascii="Times New Roman" w:hAnsi="Times New Roman" w:cs="Times New Roman"/>
          <w:b w:val="0"/>
          <w:sz w:val="22"/>
          <w:szCs w:val="22"/>
        </w:rPr>
        <w:t>5</w:t>
      </w:r>
      <w:r w:rsidRPr="009B78F2">
        <w:rPr>
          <w:rFonts w:ascii="Times New Roman" w:hAnsi="Times New Roman" w:cs="Times New Roman"/>
          <w:b w:val="0"/>
          <w:sz w:val="22"/>
          <w:szCs w:val="22"/>
        </w:rPr>
        <w:t>. financijski rezultat se procjenjuje k</w:t>
      </w:r>
      <w:r>
        <w:rPr>
          <w:rFonts w:ascii="Times New Roman" w:hAnsi="Times New Roman" w:cs="Times New Roman"/>
          <w:b w:val="0"/>
          <w:sz w:val="22"/>
          <w:szCs w:val="22"/>
        </w:rPr>
        <w:t>ao višak prihoda u iznosu od 1</w:t>
      </w:r>
      <w:r w:rsidR="00D65C0F">
        <w:rPr>
          <w:rFonts w:ascii="Times New Roman" w:hAnsi="Times New Roman" w:cs="Times New Roman"/>
          <w:b w:val="0"/>
          <w:sz w:val="22"/>
          <w:szCs w:val="22"/>
        </w:rPr>
        <w:t>.5</w:t>
      </w:r>
      <w:r>
        <w:rPr>
          <w:rFonts w:ascii="Times New Roman" w:hAnsi="Times New Roman" w:cs="Times New Roman"/>
          <w:b w:val="0"/>
          <w:sz w:val="22"/>
          <w:szCs w:val="22"/>
        </w:rPr>
        <w:t>0</w:t>
      </w:r>
      <w:r w:rsidR="00D65C0F">
        <w:rPr>
          <w:rFonts w:ascii="Times New Roman" w:hAnsi="Times New Roman" w:cs="Times New Roman"/>
          <w:b w:val="0"/>
          <w:sz w:val="22"/>
          <w:szCs w:val="22"/>
        </w:rPr>
        <w:t>0,00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EUR</w:t>
      </w:r>
      <w:r w:rsidRPr="009B78F2">
        <w:rPr>
          <w:rFonts w:ascii="Times New Roman" w:hAnsi="Times New Roman" w:cs="Times New Roman"/>
          <w:b w:val="0"/>
          <w:sz w:val="22"/>
          <w:szCs w:val="22"/>
        </w:rPr>
        <w:t xml:space="preserve">, a višak proizlazi iz sredstava koja doznačuje Državni proračun za financiranje posebnih nastavnih sredstava i pomagala (skupina 63). </w:t>
      </w:r>
      <w:r>
        <w:rPr>
          <w:rFonts w:ascii="Times New Roman" w:hAnsi="Times New Roman" w:cs="Times New Roman"/>
          <w:b w:val="0"/>
          <w:sz w:val="22"/>
          <w:szCs w:val="22"/>
        </w:rPr>
        <w:t>Cjelokupni višak se planira rasporediti u 202</w:t>
      </w:r>
      <w:r w:rsidR="00D65C0F">
        <w:rPr>
          <w:rFonts w:ascii="Times New Roman" w:hAnsi="Times New Roman" w:cs="Times New Roman"/>
          <w:b w:val="0"/>
          <w:sz w:val="22"/>
          <w:szCs w:val="22"/>
        </w:rPr>
        <w:t>6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9B78F2">
        <w:rPr>
          <w:rFonts w:ascii="Times New Roman" w:hAnsi="Times New Roman" w:cs="Times New Roman"/>
          <w:b w:val="0"/>
          <w:sz w:val="22"/>
          <w:szCs w:val="22"/>
        </w:rPr>
        <w:t>godini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na rashode </w:t>
      </w:r>
      <w:r w:rsidR="00D65C0F">
        <w:rPr>
          <w:rFonts w:ascii="Times New Roman" w:hAnsi="Times New Roman" w:cs="Times New Roman"/>
          <w:b w:val="0"/>
          <w:sz w:val="22"/>
          <w:szCs w:val="22"/>
        </w:rPr>
        <w:t xml:space="preserve">za nabavu nastavnih sredstava i pomagala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(odjeljak </w:t>
      </w:r>
      <w:r w:rsidR="00D65C0F">
        <w:rPr>
          <w:rFonts w:ascii="Times New Roman" w:hAnsi="Times New Roman" w:cs="Times New Roman"/>
          <w:b w:val="0"/>
          <w:sz w:val="22"/>
          <w:szCs w:val="22"/>
        </w:rPr>
        <w:t>3221</w:t>
      </w:r>
      <w:r>
        <w:rPr>
          <w:rFonts w:ascii="Times New Roman" w:hAnsi="Times New Roman" w:cs="Times New Roman"/>
          <w:b w:val="0"/>
          <w:sz w:val="22"/>
          <w:szCs w:val="22"/>
        </w:rPr>
        <w:t>)</w:t>
      </w:r>
      <w:r w:rsidR="00D65C0F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58AECD69" w14:textId="77777777" w:rsidR="00E23337" w:rsidRDefault="00E23337" w:rsidP="008F723C">
      <w:pPr>
        <w:jc w:val="both"/>
        <w:rPr>
          <w:b/>
          <w:bCs/>
          <w:sz w:val="22"/>
          <w:szCs w:val="22"/>
        </w:rPr>
      </w:pPr>
    </w:p>
    <w:p w14:paraId="2A93E06C" w14:textId="77777777" w:rsidR="0012644E" w:rsidRDefault="0012644E" w:rsidP="008F723C">
      <w:pPr>
        <w:jc w:val="both"/>
        <w:rPr>
          <w:b/>
          <w:bCs/>
          <w:sz w:val="22"/>
          <w:szCs w:val="22"/>
        </w:rPr>
      </w:pPr>
    </w:p>
    <w:p w14:paraId="349B3835" w14:textId="46DFC0E8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339809BC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</w:t>
      </w:r>
      <w:r w:rsidR="004476B9" w:rsidRPr="00676B80">
        <w:rPr>
          <w:sz w:val="22"/>
          <w:szCs w:val="22"/>
        </w:rPr>
        <w:t xml:space="preserve">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  <w:r w:rsidR="00A21818">
        <w:rPr>
          <w:sz w:val="22"/>
          <w:szCs w:val="22"/>
        </w:rPr>
        <w:t xml:space="preserve"> Centar za odgoj i obrazovanje „Goljak“ ne provodi aktivnost produženog boravka.</w:t>
      </w:r>
    </w:p>
    <w:p w14:paraId="6B03582D" w14:textId="77777777" w:rsidR="00B82980" w:rsidRPr="00676B80" w:rsidRDefault="00B829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3B469CEE" w:rsidR="00164C8C" w:rsidRPr="00676B80" w:rsidRDefault="00A94C56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7D0605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3DEA1749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 w:rsidR="00A94C56">
              <w:rPr>
                <w:b/>
                <w:bCs/>
                <w:sz w:val="20"/>
                <w:szCs w:val="20"/>
              </w:rPr>
              <w:t>(202</w:t>
            </w:r>
            <w:r w:rsidR="007D0605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118822DC" w:rsidR="00164C8C" w:rsidRPr="00676B80" w:rsidRDefault="00A94C56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7D0605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6476B2B5" w:rsidR="00164C8C" w:rsidRPr="00676B80" w:rsidRDefault="00A76072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Ciljana </w:t>
            </w:r>
            <w:r w:rsidR="00A94C56">
              <w:rPr>
                <w:b/>
                <w:bCs/>
                <w:sz w:val="20"/>
                <w:szCs w:val="20"/>
              </w:rPr>
              <w:t>vrijednost (202</w:t>
            </w:r>
            <w:r w:rsidR="007D0605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6339CBAD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694FD3D5" w14:textId="3B47A708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367E80F9" w14:textId="46DFA90F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14:paraId="2E26AE32" w14:textId="0D658569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0ABBC246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1A3147A5" w14:textId="6018A296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6F9635DE" w14:textId="2C22464F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14:paraId="709D76F0" w14:textId="20225CC6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46040936" w:rsidR="00164C8C" w:rsidRPr="00676B80" w:rsidRDefault="00A94C56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083" w:type="dxa"/>
          </w:tcPr>
          <w:p w14:paraId="3CA50480" w14:textId="39F01B2B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22D8B9A5" w14:textId="4B4F0BA0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6F56ABB5" w14:textId="327DCC26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14:paraId="6B062481" w14:textId="614DDF2F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7D74AE05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</w:t>
            </w:r>
            <w:r w:rsidR="00A94C56">
              <w:rPr>
                <w:bCs/>
                <w:sz w:val="20"/>
                <w:szCs w:val="20"/>
              </w:rPr>
              <w:t>s u eur</w:t>
            </w:r>
          </w:p>
        </w:tc>
        <w:tc>
          <w:tcPr>
            <w:tcW w:w="1083" w:type="dxa"/>
          </w:tcPr>
          <w:p w14:paraId="7EEC5C56" w14:textId="1F0D8B2C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15C904D3" w14:textId="65A0E7C1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5BCAC275" w14:textId="68E7CFF8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14:paraId="0C92D800" w14:textId="03780451" w:rsidR="00164C8C" w:rsidRPr="00676B80" w:rsidRDefault="009C6CB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4E6969A3" w14:textId="77777777" w:rsidR="007D0605" w:rsidRDefault="007D0605" w:rsidP="008F723C">
      <w:pPr>
        <w:jc w:val="both"/>
        <w:rPr>
          <w:b/>
          <w:bCs/>
          <w:sz w:val="22"/>
          <w:szCs w:val="22"/>
        </w:rPr>
      </w:pPr>
    </w:p>
    <w:p w14:paraId="68FA1FEB" w14:textId="7F53D6EE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18EC7F02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zagrebačkim osnovnim školama sufinancira se prehrana za</w:t>
      </w:r>
      <w:r w:rsidR="00FF4418">
        <w:rPr>
          <w:sz w:val="22"/>
          <w:szCs w:val="22"/>
        </w:rPr>
        <w:t xml:space="preserve"> učenike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 xml:space="preserve">Grad Zagreb sufinancira prehranu svim učenicima koji </w:t>
      </w:r>
      <w:r w:rsidR="00FF4418">
        <w:rPr>
          <w:sz w:val="22"/>
          <w:szCs w:val="22"/>
        </w:rPr>
        <w:t xml:space="preserve">su uključeni u program prehrane. </w:t>
      </w:r>
    </w:p>
    <w:p w14:paraId="4CB5ABBB" w14:textId="1E56E8EB" w:rsidR="004C035C" w:rsidRDefault="004C035C" w:rsidP="004C035C">
      <w:pPr>
        <w:spacing w:line="180" w:lineRule="atLeast"/>
        <w:jc w:val="both"/>
        <w:rPr>
          <w:sz w:val="22"/>
          <w:szCs w:val="22"/>
        </w:rPr>
      </w:pPr>
      <w:r w:rsidRPr="00D62B30">
        <w:rPr>
          <w:sz w:val="22"/>
          <w:szCs w:val="22"/>
        </w:rPr>
        <w:t xml:space="preserve">Cijena mliječnog obroka iznosi 0,89 eura, ručka 1,59 eura, a užine 0,44 eura. </w:t>
      </w:r>
      <w:r w:rsidRPr="00676B80">
        <w:rPr>
          <w:sz w:val="22"/>
          <w:szCs w:val="22"/>
        </w:rPr>
        <w:t>Učenici ostvaruju pravo na sufinanciranje cijene obroka, sukladno utvrđenim kriterijim</w:t>
      </w:r>
      <w:r>
        <w:rPr>
          <w:sz w:val="22"/>
          <w:szCs w:val="22"/>
        </w:rPr>
        <w:t>a i mjerilima iz ovog programa</w:t>
      </w:r>
      <w:r w:rsidRPr="00676B80">
        <w:rPr>
          <w:sz w:val="22"/>
          <w:szCs w:val="22"/>
        </w:rPr>
        <w:t xml:space="preserve">. Razlika sredstava do utvrđene pune cijene besplatnih i sufinanciranih obroka, školi se doznačuje iz proračunskih sredstava. </w:t>
      </w:r>
    </w:p>
    <w:p w14:paraId="7E12A0DC" w14:textId="35058313" w:rsidR="002E42AB" w:rsidRDefault="002E42AB" w:rsidP="00B90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Vlada Republike Hrvatske donijela je dana </w:t>
      </w:r>
      <w:r w:rsidR="00980EDE">
        <w:rPr>
          <w:sz w:val="22"/>
          <w:szCs w:val="22"/>
        </w:rPr>
        <w:t>30</w:t>
      </w:r>
      <w:r>
        <w:rPr>
          <w:sz w:val="22"/>
          <w:szCs w:val="22"/>
        </w:rPr>
        <w:t xml:space="preserve">. </w:t>
      </w:r>
      <w:r w:rsidR="00980EDE">
        <w:rPr>
          <w:sz w:val="22"/>
          <w:szCs w:val="22"/>
        </w:rPr>
        <w:t>srpnja</w:t>
      </w:r>
      <w:r>
        <w:rPr>
          <w:sz w:val="22"/>
          <w:szCs w:val="22"/>
        </w:rPr>
        <w:t xml:space="preserve"> 202</w:t>
      </w:r>
      <w:r w:rsidR="00980EDE">
        <w:rPr>
          <w:sz w:val="22"/>
          <w:szCs w:val="22"/>
        </w:rPr>
        <w:t>5</w:t>
      </w:r>
      <w:r w:rsidRPr="002E42AB">
        <w:rPr>
          <w:sz w:val="22"/>
          <w:szCs w:val="22"/>
        </w:rPr>
        <w:t xml:space="preserve">. Odluku o kriterijima i načinu financiranja, odnosno sufinanciranja troškova prehrane za učenike osnovnih škola za </w:t>
      </w:r>
      <w:r>
        <w:rPr>
          <w:sz w:val="22"/>
          <w:szCs w:val="22"/>
        </w:rPr>
        <w:t>školsku godine 202</w:t>
      </w:r>
      <w:r w:rsidR="00980EDE">
        <w:rPr>
          <w:sz w:val="22"/>
          <w:szCs w:val="22"/>
        </w:rPr>
        <w:t>5</w:t>
      </w:r>
      <w:r>
        <w:rPr>
          <w:sz w:val="22"/>
          <w:szCs w:val="22"/>
        </w:rPr>
        <w:t>./202</w:t>
      </w:r>
      <w:r w:rsidR="00980EDE">
        <w:rPr>
          <w:sz w:val="22"/>
          <w:szCs w:val="22"/>
        </w:rPr>
        <w:t>6</w:t>
      </w:r>
      <w:r w:rsidRPr="002E42AB">
        <w:rPr>
          <w:sz w:val="22"/>
          <w:szCs w:val="22"/>
        </w:rPr>
        <w:t xml:space="preserve">. (u daljnjem tekstu: Odluka). Slijedom navedene </w:t>
      </w:r>
      <w:r w:rsidR="0012644E">
        <w:rPr>
          <w:sz w:val="22"/>
          <w:szCs w:val="22"/>
        </w:rPr>
        <w:t>O</w:t>
      </w:r>
      <w:r w:rsidRPr="002E42AB">
        <w:rPr>
          <w:sz w:val="22"/>
          <w:szCs w:val="22"/>
        </w:rPr>
        <w:t xml:space="preserve">dluke, Ministarstvo znanosti i obrazovanja </w:t>
      </w:r>
      <w:r>
        <w:rPr>
          <w:sz w:val="22"/>
          <w:szCs w:val="22"/>
        </w:rPr>
        <w:t>u školskoj godini 202</w:t>
      </w:r>
      <w:r w:rsidR="00980EDE">
        <w:rPr>
          <w:sz w:val="22"/>
          <w:szCs w:val="22"/>
        </w:rPr>
        <w:t>5</w:t>
      </w:r>
      <w:r>
        <w:rPr>
          <w:sz w:val="22"/>
          <w:szCs w:val="22"/>
        </w:rPr>
        <w:t>./202</w:t>
      </w:r>
      <w:r w:rsidR="00980EDE">
        <w:rPr>
          <w:sz w:val="22"/>
          <w:szCs w:val="22"/>
        </w:rPr>
        <w:t>6</w:t>
      </w:r>
      <w:r w:rsidRPr="002E42AB">
        <w:rPr>
          <w:sz w:val="22"/>
          <w:szCs w:val="22"/>
        </w:rPr>
        <w:t>. podmirivat će troškove financiranja, odnosno sufinanciranja prehrane za svakog učenika osnovne škole uključenog u školsku prehran</w:t>
      </w:r>
      <w:r>
        <w:rPr>
          <w:sz w:val="22"/>
          <w:szCs w:val="22"/>
        </w:rPr>
        <w:t xml:space="preserve">u u iznosu od 1,33 eura po danu za dane kad je na nastavi. Navedenom Odlukom određeno je i da će se </w:t>
      </w:r>
      <w:r>
        <w:rPr>
          <w:color w:val="231F20"/>
          <w:shd w:val="clear" w:color="auto" w:fill="FFFFFF"/>
        </w:rPr>
        <w:t>Gradu Zagrebu kao osnivaču osnovnoškolskih ustanova mjesečno osiguravati sredstva za troškove financiranja, odnosno sufinanciranja prehrane učenika osnovnih škola, i to za nastavne dane sukladno Odluci o početku i završetku nastavne godine, broju radnih dana i trajanju odmora učenika osnovnih i srednjih škola za školsku godinu 202</w:t>
      </w:r>
      <w:r w:rsidR="00980EDE">
        <w:rPr>
          <w:color w:val="231F20"/>
          <w:shd w:val="clear" w:color="auto" w:fill="FFFFFF"/>
        </w:rPr>
        <w:t>5</w:t>
      </w:r>
      <w:r>
        <w:rPr>
          <w:color w:val="231F20"/>
          <w:shd w:val="clear" w:color="auto" w:fill="FFFFFF"/>
        </w:rPr>
        <w:t>./202</w:t>
      </w:r>
      <w:r w:rsidR="00980EDE">
        <w:rPr>
          <w:color w:val="231F20"/>
          <w:shd w:val="clear" w:color="auto" w:fill="FFFFFF"/>
        </w:rPr>
        <w:t>6</w:t>
      </w:r>
      <w:r>
        <w:rPr>
          <w:color w:val="231F20"/>
          <w:shd w:val="clear" w:color="auto" w:fill="FFFFFF"/>
        </w:rPr>
        <w:t xml:space="preserve">. (»Narodne novine«, broj </w:t>
      </w:r>
      <w:r w:rsidR="00980EDE">
        <w:rPr>
          <w:color w:val="231F20"/>
          <w:shd w:val="clear" w:color="auto" w:fill="FFFFFF"/>
        </w:rPr>
        <w:t>88</w:t>
      </w:r>
      <w:r>
        <w:rPr>
          <w:color w:val="231F20"/>
          <w:shd w:val="clear" w:color="auto" w:fill="FFFFFF"/>
        </w:rPr>
        <w:t>/2</w:t>
      </w:r>
      <w:r w:rsidR="00980EDE">
        <w:rPr>
          <w:color w:val="231F20"/>
          <w:shd w:val="clear" w:color="auto" w:fill="FFFFFF"/>
        </w:rPr>
        <w:t>5</w:t>
      </w:r>
      <w:r w:rsidR="004B33F4">
        <w:rPr>
          <w:color w:val="231F20"/>
          <w:shd w:val="clear" w:color="auto" w:fill="FFFFFF"/>
        </w:rPr>
        <w:t>.</w:t>
      </w:r>
      <w:r>
        <w:rPr>
          <w:color w:val="231F20"/>
          <w:shd w:val="clear" w:color="auto" w:fill="FFFFFF"/>
        </w:rPr>
        <w:t>).</w:t>
      </w:r>
    </w:p>
    <w:p w14:paraId="343FE06B" w14:textId="11914017" w:rsidR="007359A5" w:rsidRDefault="007359A5" w:rsidP="004C035C">
      <w:pPr>
        <w:spacing w:line="180" w:lineRule="atLeast"/>
        <w:jc w:val="both"/>
        <w:rPr>
          <w:sz w:val="22"/>
          <w:szCs w:val="22"/>
        </w:rPr>
      </w:pPr>
    </w:p>
    <w:p w14:paraId="1F4BD19A" w14:textId="29178E3C" w:rsidR="007359A5" w:rsidRPr="00676B80" w:rsidRDefault="007359A5" w:rsidP="007359A5">
      <w:pPr>
        <w:spacing w:line="180" w:lineRule="atLeast"/>
        <w:jc w:val="both"/>
        <w:rPr>
          <w:sz w:val="22"/>
          <w:szCs w:val="22"/>
        </w:rPr>
      </w:pPr>
      <w:r w:rsidRPr="002E42AB">
        <w:rPr>
          <w:sz w:val="22"/>
          <w:szCs w:val="22"/>
        </w:rPr>
        <w:t>Prema članku 12. Odluke o kriterijima za financiranje povećanih troškova prijevoza i posebnih nastavnih sredstava i pomagala te sufinanciranje prehrane učenika s teškoćama u razvoju u osnovnoškolskim programima za školsku godinu 202</w:t>
      </w:r>
      <w:r w:rsidR="00B16DDA">
        <w:rPr>
          <w:sz w:val="22"/>
          <w:szCs w:val="22"/>
        </w:rPr>
        <w:t>5</w:t>
      </w:r>
      <w:r w:rsidRPr="002E42AB">
        <w:rPr>
          <w:sz w:val="22"/>
          <w:szCs w:val="22"/>
        </w:rPr>
        <w:t>./202</w:t>
      </w:r>
      <w:r w:rsidR="00B16DDA">
        <w:rPr>
          <w:sz w:val="22"/>
          <w:szCs w:val="22"/>
        </w:rPr>
        <w:t>6</w:t>
      </w:r>
      <w:r w:rsidRPr="004C035C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Ministars</w:t>
      </w:r>
      <w:r w:rsidR="009C74AB">
        <w:rPr>
          <w:sz w:val="22"/>
          <w:szCs w:val="22"/>
        </w:rPr>
        <w:t>t</w:t>
      </w:r>
      <w:r>
        <w:rPr>
          <w:sz w:val="22"/>
          <w:szCs w:val="22"/>
        </w:rPr>
        <w:t>vo školama sufinancira dio troškova prehrane (</w:t>
      </w:r>
      <w:r w:rsidR="0014595E">
        <w:rPr>
          <w:sz w:val="22"/>
          <w:szCs w:val="22"/>
        </w:rPr>
        <w:t xml:space="preserve">odjeljak </w:t>
      </w:r>
      <w:r>
        <w:rPr>
          <w:sz w:val="22"/>
          <w:szCs w:val="22"/>
        </w:rPr>
        <w:t>32</w:t>
      </w:r>
      <w:r w:rsidR="00B16DDA">
        <w:rPr>
          <w:sz w:val="22"/>
          <w:szCs w:val="22"/>
        </w:rPr>
        <w:t>39</w:t>
      </w:r>
      <w:r>
        <w:rPr>
          <w:sz w:val="22"/>
          <w:szCs w:val="22"/>
        </w:rPr>
        <w:t xml:space="preserve">, izvor financiranja 5.2.1) u iznosu od </w:t>
      </w:r>
      <w:r w:rsidR="0092779F">
        <w:rPr>
          <w:sz w:val="22"/>
          <w:szCs w:val="22"/>
        </w:rPr>
        <w:t>1</w:t>
      </w:r>
      <w:r>
        <w:rPr>
          <w:sz w:val="22"/>
          <w:szCs w:val="22"/>
        </w:rPr>
        <w:t>,</w:t>
      </w:r>
      <w:r w:rsidR="0092779F">
        <w:rPr>
          <w:sz w:val="22"/>
          <w:szCs w:val="22"/>
        </w:rPr>
        <w:t>08</w:t>
      </w:r>
      <w:r>
        <w:rPr>
          <w:sz w:val="22"/>
          <w:szCs w:val="22"/>
        </w:rPr>
        <w:t xml:space="preserve"> Eur dnevno za ručak po učeniku u odgojno-obrazovnoj skupini za provedbu programa </w:t>
      </w:r>
      <w:r w:rsidR="009C74AB">
        <w:rPr>
          <w:sz w:val="22"/>
          <w:szCs w:val="22"/>
        </w:rPr>
        <w:t>p</w:t>
      </w:r>
      <w:r>
        <w:rPr>
          <w:sz w:val="22"/>
          <w:szCs w:val="22"/>
        </w:rPr>
        <w:t xml:space="preserve">roduženog stručnog postupka. Zbog specifičnosti programa </w:t>
      </w:r>
      <w:r w:rsidR="0092779F">
        <w:rPr>
          <w:sz w:val="22"/>
          <w:szCs w:val="22"/>
        </w:rPr>
        <w:t xml:space="preserve">, </w:t>
      </w:r>
      <w:r>
        <w:rPr>
          <w:sz w:val="22"/>
          <w:szCs w:val="22"/>
        </w:rPr>
        <w:t>Ministarstvo Centru sufinancira i prehranu u</w:t>
      </w:r>
      <w:r w:rsidR="009C74AB">
        <w:rPr>
          <w:sz w:val="22"/>
          <w:szCs w:val="22"/>
        </w:rPr>
        <w:t>če</w:t>
      </w:r>
      <w:r>
        <w:rPr>
          <w:sz w:val="22"/>
          <w:szCs w:val="22"/>
        </w:rPr>
        <w:t>nika u iznosu od 0,</w:t>
      </w:r>
      <w:r w:rsidR="0092779F">
        <w:rPr>
          <w:sz w:val="22"/>
          <w:szCs w:val="22"/>
        </w:rPr>
        <w:t>58</w:t>
      </w:r>
      <w:r>
        <w:rPr>
          <w:sz w:val="22"/>
          <w:szCs w:val="22"/>
        </w:rPr>
        <w:t xml:space="preserve"> Eur dnevno za užinu po učeniku.</w:t>
      </w:r>
    </w:p>
    <w:p w14:paraId="0C547652" w14:textId="77777777" w:rsidR="007359A5" w:rsidRDefault="007359A5" w:rsidP="004C035C">
      <w:pPr>
        <w:spacing w:line="180" w:lineRule="atLeast"/>
        <w:jc w:val="both"/>
        <w:rPr>
          <w:sz w:val="22"/>
          <w:szCs w:val="22"/>
        </w:rPr>
      </w:pPr>
    </w:p>
    <w:p w14:paraId="43D13A48" w14:textId="77777777" w:rsidR="004C035C" w:rsidRDefault="004C035C" w:rsidP="004476B9">
      <w:pPr>
        <w:spacing w:line="180" w:lineRule="atLeast"/>
        <w:jc w:val="both"/>
        <w:rPr>
          <w:sz w:val="22"/>
          <w:szCs w:val="22"/>
        </w:rPr>
      </w:pPr>
    </w:p>
    <w:p w14:paraId="7A5AAF81" w14:textId="1F1A72D3" w:rsidR="00B82980" w:rsidRPr="00676B80" w:rsidRDefault="00B82980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7C0B0126" w:rsidR="00164C8C" w:rsidRPr="00676B80" w:rsidRDefault="00A94C5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8F7186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1CC76F59" w:rsidR="00164C8C" w:rsidRPr="00676B80" w:rsidRDefault="00A94C5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8F7186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1646B98D" w:rsidR="00164C8C" w:rsidRPr="00676B80" w:rsidRDefault="00A94C5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8F7186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37A40296" w:rsidR="00164C8C" w:rsidRPr="00676B80" w:rsidRDefault="00A94C5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8F7186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4314CF7A" w:rsidR="00164C8C" w:rsidRPr="00676B80" w:rsidRDefault="006F00C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1119" w:type="dxa"/>
          </w:tcPr>
          <w:p w14:paraId="16A3E705" w14:textId="55F3B929" w:rsidR="00164C8C" w:rsidRPr="00676B80" w:rsidRDefault="005172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1130" w:type="dxa"/>
          </w:tcPr>
          <w:p w14:paraId="28E2681C" w14:textId="74B552F7" w:rsidR="00164C8C" w:rsidRPr="00676B80" w:rsidRDefault="005172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1124" w:type="dxa"/>
          </w:tcPr>
          <w:p w14:paraId="10C0C3FB" w14:textId="700D1CF8" w:rsidR="00164C8C" w:rsidRPr="00676B80" w:rsidRDefault="005172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65C86FE8" w:rsidR="00164C8C" w:rsidRPr="00676B80" w:rsidRDefault="00164C8C" w:rsidP="003627B4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 proračuna</w:t>
            </w:r>
            <w:r w:rsidR="007359A5">
              <w:rPr>
                <w:bCs/>
                <w:sz w:val="20"/>
                <w:szCs w:val="20"/>
              </w:rPr>
              <w:t xml:space="preserve"> (Grad Zagreb, Ministarstvo)</w:t>
            </w:r>
            <w:r w:rsidR="003627B4">
              <w:rPr>
                <w:bCs/>
                <w:sz w:val="20"/>
                <w:szCs w:val="20"/>
              </w:rPr>
              <w:t xml:space="preserve"> </w:t>
            </w:r>
            <w:r w:rsidRPr="00676B80">
              <w:rPr>
                <w:bCs/>
                <w:sz w:val="20"/>
                <w:szCs w:val="20"/>
              </w:rPr>
              <w:t xml:space="preserve">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581C9A62" w:rsidR="00164C8C" w:rsidRPr="00676B80" w:rsidRDefault="00A94C5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eur</w:t>
            </w:r>
          </w:p>
        </w:tc>
        <w:tc>
          <w:tcPr>
            <w:tcW w:w="1124" w:type="dxa"/>
          </w:tcPr>
          <w:p w14:paraId="283E7F7C" w14:textId="77777777" w:rsidR="00164C8C" w:rsidRDefault="006F00C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  <w:p w14:paraId="532081E1" w14:textId="3908F8D3" w:rsidR="006F00CD" w:rsidRPr="00676B80" w:rsidRDefault="006F00CD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66DA5AFF" w14:textId="35547E71" w:rsidR="00164C8C" w:rsidRPr="00676B80" w:rsidRDefault="00105CA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77EDB">
              <w:rPr>
                <w:b/>
                <w:sz w:val="20"/>
                <w:szCs w:val="20"/>
              </w:rPr>
              <w:t>0</w:t>
            </w:r>
            <w:r w:rsidR="00116ACB">
              <w:rPr>
                <w:b/>
                <w:sz w:val="20"/>
                <w:szCs w:val="20"/>
              </w:rPr>
              <w:t>.</w:t>
            </w:r>
            <w:r w:rsidR="0081069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0" w:type="dxa"/>
          </w:tcPr>
          <w:p w14:paraId="61E1D9C7" w14:textId="6FB04BBC" w:rsidR="00164C8C" w:rsidRPr="00676B80" w:rsidRDefault="00105CA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50219">
              <w:rPr>
                <w:b/>
                <w:sz w:val="20"/>
                <w:szCs w:val="20"/>
              </w:rPr>
              <w:t>0</w:t>
            </w:r>
            <w:r w:rsidR="0081069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24" w:type="dxa"/>
          </w:tcPr>
          <w:p w14:paraId="306C8BC6" w14:textId="63EDF93E" w:rsidR="00164C8C" w:rsidRPr="00676B80" w:rsidRDefault="00105CA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50219">
              <w:rPr>
                <w:b/>
                <w:sz w:val="20"/>
                <w:szCs w:val="20"/>
              </w:rPr>
              <w:t>0</w:t>
            </w:r>
            <w:r w:rsidR="00810691">
              <w:rPr>
                <w:b/>
                <w:sz w:val="20"/>
                <w:szCs w:val="20"/>
              </w:rPr>
              <w:t>.000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5F37DDFE" w:rsidR="00164C8C" w:rsidRPr="00676B80" w:rsidRDefault="00A94C5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eur</w:t>
            </w:r>
          </w:p>
        </w:tc>
        <w:tc>
          <w:tcPr>
            <w:tcW w:w="1124" w:type="dxa"/>
          </w:tcPr>
          <w:p w14:paraId="70799631" w14:textId="4907544C" w:rsidR="00164C8C" w:rsidRPr="00676B80" w:rsidRDefault="0049560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74622E59" w14:textId="1BAFF579" w:rsidR="00164C8C" w:rsidRPr="00676B80" w:rsidRDefault="0049560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759901F7" w14:textId="2DD79973" w:rsidR="00164C8C" w:rsidRPr="00676B80" w:rsidRDefault="0049560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4" w:type="dxa"/>
          </w:tcPr>
          <w:p w14:paraId="09ED67D4" w14:textId="213703CA" w:rsidR="00164C8C" w:rsidRPr="00676B80" w:rsidRDefault="0049560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41391D51" w14:textId="0F3086F0" w:rsidR="008F723C" w:rsidRDefault="008F723C" w:rsidP="001A1C50">
      <w:pPr>
        <w:jc w:val="both"/>
        <w:rPr>
          <w:sz w:val="20"/>
          <w:szCs w:val="20"/>
        </w:rPr>
      </w:pPr>
    </w:p>
    <w:p w14:paraId="53B562A1" w14:textId="4522BBD1" w:rsidR="00B50219" w:rsidRPr="00347B7F" w:rsidRDefault="00B50219" w:rsidP="001A1C50">
      <w:pPr>
        <w:jc w:val="both"/>
        <w:rPr>
          <w:sz w:val="20"/>
          <w:szCs w:val="20"/>
        </w:rPr>
      </w:pPr>
      <w:r w:rsidRPr="00182B93">
        <w:rPr>
          <w:sz w:val="22"/>
          <w:szCs w:val="22"/>
        </w:rPr>
        <w:t>Centar nema vlastiti kuhinju i nabavu hrane, nego</w:t>
      </w:r>
      <w:r>
        <w:rPr>
          <w:sz w:val="22"/>
          <w:szCs w:val="22"/>
        </w:rPr>
        <w:t xml:space="preserve"> koristimo uslugu dostave obrok</w:t>
      </w:r>
      <w:r w:rsidR="00171946">
        <w:rPr>
          <w:sz w:val="22"/>
          <w:szCs w:val="22"/>
        </w:rPr>
        <w:t>a</w:t>
      </w:r>
      <w:r>
        <w:rPr>
          <w:sz w:val="22"/>
          <w:szCs w:val="22"/>
        </w:rPr>
        <w:t>, za što na mjesečnoj bazi zaprimamo račun.</w:t>
      </w:r>
    </w:p>
    <w:p w14:paraId="19254217" w14:textId="77777777" w:rsidR="00E23337" w:rsidRDefault="00E23337" w:rsidP="00C67B83">
      <w:pPr>
        <w:jc w:val="both"/>
        <w:rPr>
          <w:b/>
          <w:bCs/>
          <w:sz w:val="22"/>
          <w:szCs w:val="22"/>
        </w:rPr>
      </w:pPr>
    </w:p>
    <w:p w14:paraId="77D9F469" w14:textId="4E57CB76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252E96A0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1A9EB3C8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dodjeljuje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6C3826C3" w14:textId="76D876EE" w:rsidR="00D81E60" w:rsidRPr="00D83881" w:rsidRDefault="00D81E60" w:rsidP="00D81E60">
      <w:pPr>
        <w:spacing w:line="180" w:lineRule="atLeast"/>
        <w:ind w:firstLine="708"/>
        <w:jc w:val="both"/>
        <w:rPr>
          <w:sz w:val="22"/>
          <w:szCs w:val="22"/>
        </w:rPr>
      </w:pPr>
      <w:r w:rsidRPr="00D83881">
        <w:rPr>
          <w:sz w:val="22"/>
          <w:szCs w:val="22"/>
        </w:rPr>
        <w:t>Zbog specifičnosti programa, različitih motoričkih teškoća i višestrukih oštećenja</w:t>
      </w:r>
      <w:r>
        <w:rPr>
          <w:sz w:val="22"/>
          <w:szCs w:val="22"/>
        </w:rPr>
        <w:t xml:space="preserve"> učenika</w:t>
      </w:r>
      <w:r w:rsidRPr="00D83881">
        <w:rPr>
          <w:sz w:val="22"/>
          <w:szCs w:val="22"/>
        </w:rPr>
        <w:t xml:space="preserve">, Centar ne provodi </w:t>
      </w:r>
      <w:r>
        <w:rPr>
          <w:sz w:val="22"/>
          <w:szCs w:val="22"/>
        </w:rPr>
        <w:t>navedene programe.</w:t>
      </w:r>
    </w:p>
    <w:p w14:paraId="5563AEDD" w14:textId="77777777" w:rsidR="00D81E60" w:rsidRDefault="00D81E60" w:rsidP="00A2070D">
      <w:pPr>
        <w:jc w:val="both"/>
        <w:rPr>
          <w:sz w:val="22"/>
          <w:szCs w:val="22"/>
        </w:rPr>
      </w:pP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665120B5" w14:textId="165EAB1F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0B76EA22" w:rsidR="00900BA5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</w:t>
      </w:r>
      <w:r w:rsidR="00275C00">
        <w:rPr>
          <w:sz w:val="22"/>
          <w:szCs w:val="22"/>
        </w:rPr>
        <w:t>ih u stvarnoj životnoj sredini.</w:t>
      </w:r>
      <w:r w:rsidR="0079694D">
        <w:rPr>
          <w:sz w:val="22"/>
          <w:szCs w:val="22"/>
        </w:rPr>
        <w:t xml:space="preserve"> </w:t>
      </w:r>
      <w:r w:rsidR="000F5781" w:rsidRPr="00676B80">
        <w:rPr>
          <w:sz w:val="22"/>
          <w:szCs w:val="22"/>
        </w:rPr>
        <w:t>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0DA9C5FA" w14:textId="77777777" w:rsidR="00D83881" w:rsidRDefault="00D83881" w:rsidP="0057400F">
      <w:pPr>
        <w:spacing w:line="180" w:lineRule="atLeast"/>
        <w:ind w:firstLine="708"/>
        <w:jc w:val="both"/>
        <w:rPr>
          <w:b/>
          <w:sz w:val="22"/>
          <w:szCs w:val="22"/>
        </w:rPr>
      </w:pPr>
    </w:p>
    <w:p w14:paraId="03E10F85" w14:textId="51024522" w:rsidR="0057400F" w:rsidRPr="00D83881" w:rsidRDefault="0057400F" w:rsidP="0057400F">
      <w:pPr>
        <w:spacing w:line="180" w:lineRule="atLeast"/>
        <w:ind w:firstLine="708"/>
        <w:jc w:val="both"/>
        <w:rPr>
          <w:sz w:val="22"/>
          <w:szCs w:val="22"/>
        </w:rPr>
      </w:pPr>
      <w:r w:rsidRPr="00D83881">
        <w:rPr>
          <w:sz w:val="22"/>
          <w:szCs w:val="22"/>
        </w:rPr>
        <w:t xml:space="preserve">Zbog specifičnosti programa, </w:t>
      </w:r>
      <w:r w:rsidR="00965CF6" w:rsidRPr="00D83881">
        <w:rPr>
          <w:sz w:val="22"/>
          <w:szCs w:val="22"/>
        </w:rPr>
        <w:t xml:space="preserve">različitih </w:t>
      </w:r>
      <w:r w:rsidR="00D83881" w:rsidRPr="00D83881">
        <w:rPr>
          <w:sz w:val="22"/>
          <w:szCs w:val="22"/>
        </w:rPr>
        <w:t>motoričkih teškoća</w:t>
      </w:r>
      <w:r w:rsidRPr="00D83881">
        <w:rPr>
          <w:sz w:val="22"/>
          <w:szCs w:val="22"/>
        </w:rPr>
        <w:t xml:space="preserve"> i višestrukih</w:t>
      </w:r>
      <w:r w:rsidR="000C5144" w:rsidRPr="00D83881">
        <w:rPr>
          <w:sz w:val="22"/>
          <w:szCs w:val="22"/>
        </w:rPr>
        <w:t xml:space="preserve"> oštećenja</w:t>
      </w:r>
      <w:r w:rsidR="001D0D24">
        <w:rPr>
          <w:sz w:val="22"/>
          <w:szCs w:val="22"/>
        </w:rPr>
        <w:t xml:space="preserve"> učenika</w:t>
      </w:r>
      <w:r w:rsidRPr="00D83881">
        <w:rPr>
          <w:sz w:val="22"/>
          <w:szCs w:val="22"/>
        </w:rPr>
        <w:t>, Centar ne provodi terensku nastavu škole u prirodi.</w:t>
      </w:r>
    </w:p>
    <w:p w14:paraId="7A2A3ED0" w14:textId="15CA5167" w:rsidR="0057400F" w:rsidRDefault="0057400F" w:rsidP="0057400F">
      <w:pPr>
        <w:spacing w:line="180" w:lineRule="atLeast"/>
        <w:jc w:val="both"/>
        <w:rPr>
          <w:sz w:val="20"/>
          <w:szCs w:val="20"/>
        </w:rPr>
      </w:pPr>
    </w:p>
    <w:p w14:paraId="3AD8448B" w14:textId="77777777" w:rsidR="0057400F" w:rsidRPr="00347B7F" w:rsidRDefault="0057400F" w:rsidP="0057400F">
      <w:pPr>
        <w:spacing w:line="180" w:lineRule="atLeast"/>
        <w:jc w:val="both"/>
        <w:rPr>
          <w:sz w:val="20"/>
          <w:szCs w:val="20"/>
        </w:rPr>
      </w:pP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46CE759F" w:rsidR="00164C8C" w:rsidRPr="00676B80" w:rsidRDefault="00A94C5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2D0586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39AAEF97" w:rsidR="00164C8C" w:rsidRPr="00676B80" w:rsidRDefault="00A94C5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2D0586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05CF7757" w:rsidR="00164C8C" w:rsidRPr="00676B80" w:rsidRDefault="00A94C5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2D0586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492B8FD1" w:rsidR="00164C8C" w:rsidRPr="00FE0BD5" w:rsidRDefault="00A94C56" w:rsidP="00FE0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2D0586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57C55233" w:rsidR="00164C8C" w:rsidRPr="00676B80" w:rsidRDefault="002D058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14:paraId="2060FF6B" w14:textId="0FCBE972" w:rsidR="00164C8C" w:rsidRPr="00676B80" w:rsidRDefault="00833EC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6" w:type="dxa"/>
          </w:tcPr>
          <w:p w14:paraId="443362DE" w14:textId="1CC76BDF" w:rsidR="00164C8C" w:rsidRPr="00676B80" w:rsidRDefault="00833EC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0264C4EE" w14:textId="2981F8FE" w:rsidR="00164C8C" w:rsidRPr="00676B80" w:rsidRDefault="00833EC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3022AEDE" w:rsidR="00164C8C" w:rsidRPr="00676B80" w:rsidRDefault="00257D8F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130" w:type="dxa"/>
          </w:tcPr>
          <w:p w14:paraId="5ECCEBA1" w14:textId="7A39FDD7" w:rsidR="00164C8C" w:rsidRPr="00676B80" w:rsidRDefault="00833EC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14:paraId="03B12A0D" w14:textId="1DCC0B95" w:rsidR="00164C8C" w:rsidRPr="00676B80" w:rsidRDefault="00833EC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6" w:type="dxa"/>
          </w:tcPr>
          <w:p w14:paraId="3EA6EBCC" w14:textId="37E50AF4" w:rsidR="00164C8C" w:rsidRPr="00676B80" w:rsidRDefault="00833EC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24B0B7FE" w14:textId="68E1F27A" w:rsidR="00164C8C" w:rsidRPr="00676B80" w:rsidRDefault="00833EC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3A7282E" w14:textId="77777777" w:rsidR="00B82980" w:rsidRDefault="00B82980" w:rsidP="008F723C">
      <w:pPr>
        <w:jc w:val="both"/>
        <w:rPr>
          <w:b/>
          <w:bCs/>
          <w:sz w:val="22"/>
          <w:szCs w:val="22"/>
        </w:rPr>
      </w:pPr>
    </w:p>
    <w:p w14:paraId="7F9E93CA" w14:textId="77777777" w:rsidR="00E23337" w:rsidRDefault="00E23337" w:rsidP="008F723C">
      <w:pPr>
        <w:jc w:val="both"/>
        <w:rPr>
          <w:b/>
          <w:bCs/>
          <w:sz w:val="22"/>
          <w:szCs w:val="22"/>
        </w:rPr>
      </w:pPr>
    </w:p>
    <w:p w14:paraId="3DEFE68E" w14:textId="12C08AEE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1C061D4A" w:rsidR="000F5781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25E1B4B4" w14:textId="10B0F8F5" w:rsidR="000C5144" w:rsidRPr="0057400F" w:rsidRDefault="001D0D24" w:rsidP="000C5144">
      <w:pPr>
        <w:spacing w:line="180" w:lineRule="atLeast"/>
        <w:ind w:firstLine="708"/>
        <w:jc w:val="both"/>
        <w:rPr>
          <w:sz w:val="22"/>
          <w:szCs w:val="22"/>
        </w:rPr>
      </w:pPr>
      <w:r w:rsidRPr="00D83881">
        <w:rPr>
          <w:sz w:val="22"/>
          <w:szCs w:val="22"/>
        </w:rPr>
        <w:t>Zbog specifičnosti programa, različitih motoričkih teškoća i višestrukih oštećenja</w:t>
      </w:r>
      <w:r w:rsidR="003F2280">
        <w:rPr>
          <w:sz w:val="22"/>
          <w:szCs w:val="22"/>
        </w:rPr>
        <w:t xml:space="preserve"> učenika</w:t>
      </w:r>
      <w:r w:rsidRPr="00D83881">
        <w:rPr>
          <w:sz w:val="22"/>
          <w:szCs w:val="22"/>
        </w:rPr>
        <w:t>, Centar ne provodi</w:t>
      </w:r>
      <w:r>
        <w:rPr>
          <w:sz w:val="22"/>
          <w:szCs w:val="22"/>
        </w:rPr>
        <w:t xml:space="preserve"> </w:t>
      </w:r>
      <w:r w:rsidR="000C5144">
        <w:rPr>
          <w:sz w:val="22"/>
          <w:szCs w:val="22"/>
        </w:rPr>
        <w:t>program Vikendom u sportske dvorane.</w:t>
      </w:r>
      <w:r>
        <w:rPr>
          <w:sz w:val="22"/>
          <w:szCs w:val="22"/>
        </w:rPr>
        <w:t xml:space="preserve"> </w:t>
      </w:r>
    </w:p>
    <w:p w14:paraId="319E6DA9" w14:textId="77777777" w:rsidR="000C5144" w:rsidRDefault="000C5144" w:rsidP="008F723C">
      <w:pPr>
        <w:jc w:val="both"/>
        <w:rPr>
          <w:sz w:val="22"/>
          <w:szCs w:val="22"/>
        </w:rPr>
      </w:pPr>
    </w:p>
    <w:p w14:paraId="1DBBC2C2" w14:textId="7BB379F2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4C426119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606D49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260FC117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606D49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5D405F0D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606D49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4332998F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606D49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680CCC17" w:rsidR="00164C8C" w:rsidRPr="00676B80" w:rsidRDefault="0046156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BD31943" w14:textId="4DFE74A2" w:rsidR="00164C8C" w:rsidRPr="00676B80" w:rsidRDefault="0046156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4C7CFBBA" w14:textId="35CD425E" w:rsidR="00164C8C" w:rsidRPr="00676B80" w:rsidRDefault="0046156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71D1E6FC" w14:textId="1E77EFFC" w:rsidR="00164C8C" w:rsidRPr="00676B80" w:rsidRDefault="0046156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40983160" w:rsidR="00164C8C" w:rsidRPr="00676B80" w:rsidRDefault="00257D8F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083" w:type="dxa"/>
          </w:tcPr>
          <w:p w14:paraId="277652EF" w14:textId="7A3E563C" w:rsidR="00164C8C" w:rsidRPr="00676B80" w:rsidRDefault="0046156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3935B2CB" w14:textId="447F24C5" w:rsidR="00164C8C" w:rsidRPr="00676B80" w:rsidRDefault="0046156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C18E731" w14:textId="5CB285D6" w:rsidR="00164C8C" w:rsidRPr="00676B80" w:rsidRDefault="0046156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426A391D" w14:textId="47C54EA4" w:rsidR="00164C8C" w:rsidRPr="00676B80" w:rsidRDefault="0046156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394062" w14:textId="51B9DB24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3D9B44C1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</w:t>
      </w:r>
    </w:p>
    <w:p w14:paraId="2902F7C6" w14:textId="33761150" w:rsidR="00FD1274" w:rsidRDefault="00FD1274" w:rsidP="008F723C">
      <w:pPr>
        <w:jc w:val="both"/>
        <w:rPr>
          <w:sz w:val="22"/>
          <w:szCs w:val="22"/>
        </w:rPr>
      </w:pPr>
    </w:p>
    <w:p w14:paraId="538302DA" w14:textId="64114866" w:rsidR="004B7B1B" w:rsidRDefault="004B7B1B" w:rsidP="008F723C">
      <w:pPr>
        <w:jc w:val="both"/>
        <w:rPr>
          <w:sz w:val="22"/>
          <w:szCs w:val="22"/>
        </w:rPr>
      </w:pPr>
    </w:p>
    <w:p w14:paraId="06135DC8" w14:textId="30016446" w:rsidR="004B7B1B" w:rsidRDefault="004B7B1B" w:rsidP="008F723C">
      <w:pPr>
        <w:jc w:val="both"/>
        <w:rPr>
          <w:sz w:val="22"/>
          <w:szCs w:val="22"/>
        </w:rPr>
      </w:pPr>
    </w:p>
    <w:p w14:paraId="4070A81F" w14:textId="3CEE8D2C" w:rsidR="004B7B1B" w:rsidRDefault="004B7B1B" w:rsidP="008F723C">
      <w:pPr>
        <w:jc w:val="both"/>
        <w:rPr>
          <w:sz w:val="22"/>
          <w:szCs w:val="22"/>
        </w:rPr>
      </w:pPr>
    </w:p>
    <w:p w14:paraId="26AA97A5" w14:textId="7988536E" w:rsidR="004B7B1B" w:rsidRDefault="004B7B1B" w:rsidP="008F723C">
      <w:pPr>
        <w:jc w:val="both"/>
        <w:rPr>
          <w:sz w:val="22"/>
          <w:szCs w:val="22"/>
        </w:rPr>
      </w:pPr>
    </w:p>
    <w:p w14:paraId="7DF58F87" w14:textId="509035E3" w:rsidR="004B7B1B" w:rsidRDefault="004B7B1B" w:rsidP="008F723C">
      <w:pPr>
        <w:jc w:val="both"/>
        <w:rPr>
          <w:sz w:val="22"/>
          <w:szCs w:val="22"/>
        </w:rPr>
      </w:pPr>
    </w:p>
    <w:p w14:paraId="47702B71" w14:textId="488E9171" w:rsidR="004B7B1B" w:rsidRDefault="004B7B1B" w:rsidP="008F723C">
      <w:pPr>
        <w:jc w:val="both"/>
        <w:rPr>
          <w:sz w:val="22"/>
          <w:szCs w:val="22"/>
        </w:rPr>
      </w:pPr>
    </w:p>
    <w:p w14:paraId="206E8986" w14:textId="77777777" w:rsidR="00054AC6" w:rsidRPr="00676B80" w:rsidRDefault="00054AC6" w:rsidP="008F723C">
      <w:pPr>
        <w:jc w:val="both"/>
        <w:rPr>
          <w:sz w:val="22"/>
          <w:szCs w:val="22"/>
        </w:rPr>
      </w:pPr>
    </w:p>
    <w:p w14:paraId="31EFBAC7" w14:textId="3E5FF3B1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1EC4D03F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054AC6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630DB483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054AC6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119EC820" w:rsidR="00164C8C" w:rsidRPr="00676B80" w:rsidRDefault="0047365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Ciljana </w:t>
            </w:r>
            <w:r w:rsidR="00257D8F">
              <w:rPr>
                <w:b/>
                <w:bCs/>
                <w:sz w:val="20"/>
                <w:szCs w:val="20"/>
              </w:rPr>
              <w:t>vrijednost (202</w:t>
            </w:r>
            <w:r w:rsidR="00054AC6">
              <w:rPr>
                <w:b/>
                <w:bCs/>
                <w:sz w:val="20"/>
                <w:szCs w:val="20"/>
              </w:rPr>
              <w:t>7.</w:t>
            </w:r>
            <w:r w:rsidR="00164C8C"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3397C4A8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054AC6">
              <w:rPr>
                <w:b/>
                <w:bCs/>
                <w:sz w:val="20"/>
                <w:szCs w:val="20"/>
              </w:rPr>
              <w:t>8.</w:t>
            </w:r>
            <w:r w:rsidR="00164C8C"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36B704D5" w14:textId="2BE386CB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2BC792D9" w14:textId="52B6E68C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22596B85" w14:textId="4DB769AB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5B7E9B3E" w14:textId="105D92AD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3CA64085" w:rsidR="00164C8C" w:rsidRPr="00676B80" w:rsidRDefault="004F75A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4E2CD4EA" w14:textId="102023F5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28F0EABA" w14:textId="3C10253A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3D69B39E" w14:textId="5270F6E3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28D0B195" w:rsidR="00164C8C" w:rsidRPr="00676B80" w:rsidRDefault="00257D8F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125" w:type="dxa"/>
          </w:tcPr>
          <w:p w14:paraId="7EB262F0" w14:textId="52BC53FB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0B93B418" w14:textId="1DEEA525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3C70BE5B" w14:textId="67423190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4C438765" w14:textId="71745932" w:rsidR="00164C8C" w:rsidRPr="00676B80" w:rsidRDefault="008F7E6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3C7C40D" w14:textId="52D717DE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5727346E" w14:textId="7FA44E6D" w:rsidR="000C5144" w:rsidRPr="0057400F" w:rsidRDefault="000C5144" w:rsidP="000C5144">
      <w:pPr>
        <w:spacing w:line="18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Zbog specifičnosti programa, različitih motoričkih teškoća i višestrukih oštećenja </w:t>
      </w:r>
      <w:r w:rsidR="003F2280">
        <w:rPr>
          <w:sz w:val="22"/>
          <w:szCs w:val="22"/>
        </w:rPr>
        <w:t xml:space="preserve">učenika </w:t>
      </w:r>
      <w:r>
        <w:rPr>
          <w:sz w:val="22"/>
          <w:szCs w:val="22"/>
        </w:rPr>
        <w:t>Centar ne koris</w:t>
      </w:r>
      <w:r w:rsidR="002E0475">
        <w:rPr>
          <w:sz w:val="22"/>
          <w:szCs w:val="22"/>
        </w:rPr>
        <w:t>ti</w:t>
      </w:r>
      <w:r>
        <w:rPr>
          <w:sz w:val="22"/>
          <w:szCs w:val="22"/>
        </w:rPr>
        <w:t xml:space="preserve"> program Pomoćnika u nast</w:t>
      </w:r>
      <w:r w:rsidR="002E0475">
        <w:rPr>
          <w:sz w:val="22"/>
          <w:szCs w:val="22"/>
        </w:rPr>
        <w:t>a</w:t>
      </w:r>
      <w:r>
        <w:rPr>
          <w:sz w:val="22"/>
          <w:szCs w:val="22"/>
        </w:rPr>
        <w:t>vi. Učenicima potporu u nastavnom procesu uz učitelje pružaju njegovatelji, medicinsk</w:t>
      </w:r>
      <w:r w:rsidR="003F2280">
        <w:rPr>
          <w:sz w:val="22"/>
          <w:szCs w:val="22"/>
        </w:rPr>
        <w:t>e</w:t>
      </w:r>
      <w:r>
        <w:rPr>
          <w:sz w:val="22"/>
          <w:szCs w:val="22"/>
        </w:rPr>
        <w:t xml:space="preserve"> sestr</w:t>
      </w:r>
      <w:r w:rsidR="003F2280">
        <w:rPr>
          <w:sz w:val="22"/>
          <w:szCs w:val="22"/>
        </w:rPr>
        <w:t>e</w:t>
      </w:r>
      <w:r>
        <w:rPr>
          <w:sz w:val="22"/>
          <w:szCs w:val="22"/>
        </w:rPr>
        <w:t>, radni terapeut koji su zaposleni u Centru</w:t>
      </w:r>
    </w:p>
    <w:p w14:paraId="20BB93F0" w14:textId="77777777" w:rsidR="000C5144" w:rsidRDefault="000C5144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51B92E31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T310904. POMOĆNICI U NASTAVI, STRUČNI I KOMUNIKACIJSKI POSREDNICI KAO POTPORA INKL. OBRAZOVANJU FAZA I</w:t>
      </w:r>
      <w:r w:rsidR="00706A52" w:rsidRPr="00676B80">
        <w:rPr>
          <w:b/>
          <w:bCs/>
          <w:sz w:val="22"/>
          <w:szCs w:val="22"/>
        </w:rPr>
        <w:t>V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341090FD" w:rsidR="00706A52" w:rsidRPr="00676B80" w:rsidRDefault="00C67B83" w:rsidP="00C67B8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Grad Zagreb je 08. srpnja 2021.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odgojno-obrazovnim ustanovama, faza IV.”.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</w:t>
      </w:r>
      <w:r w:rsidR="00275C00">
        <w:rPr>
          <w:sz w:val="22"/>
          <w:szCs w:val="22"/>
        </w:rPr>
        <w:t>ma na određeno vrijeme.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61D33A22" w14:textId="5B47AB35" w:rsidR="00C67B83" w:rsidRPr="00676B80" w:rsidRDefault="00C67B83" w:rsidP="00C67B83">
      <w:pPr>
        <w:jc w:val="both"/>
        <w:rPr>
          <w:sz w:val="22"/>
          <w:szCs w:val="22"/>
          <w:lang w:eastAsia="en-US"/>
        </w:rPr>
      </w:pPr>
      <w:r w:rsidRPr="00676B80">
        <w:rPr>
          <w:bCs/>
          <w:sz w:val="22"/>
          <w:szCs w:val="22"/>
        </w:rPr>
        <w:t>U Projektu, kao partneri, s</w:t>
      </w:r>
      <w:r w:rsidR="00257D8F">
        <w:rPr>
          <w:color w:val="222222"/>
          <w:sz w:val="22"/>
          <w:szCs w:val="22"/>
          <w:lang w:eastAsia="en-US"/>
        </w:rPr>
        <w:t>udjeluju osnovne i</w:t>
      </w:r>
      <w:r w:rsidRPr="00676B80">
        <w:rPr>
          <w:color w:val="222222"/>
          <w:sz w:val="22"/>
          <w:szCs w:val="22"/>
          <w:lang w:eastAsia="en-US"/>
        </w:rPr>
        <w:t xml:space="preserve"> srednje škole s područja Grada Zagreba.</w:t>
      </w:r>
      <w:r w:rsidRPr="00676B80">
        <w:rPr>
          <w:sz w:val="22"/>
          <w:szCs w:val="22"/>
        </w:rPr>
        <w:t xml:space="preserve"> </w:t>
      </w:r>
    </w:p>
    <w:p w14:paraId="3C420D4F" w14:textId="799AEC8C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353F700F" w:rsidR="00AF4273" w:rsidRDefault="00AF4273" w:rsidP="008F723C">
      <w:pPr>
        <w:jc w:val="both"/>
        <w:rPr>
          <w:sz w:val="20"/>
          <w:szCs w:val="20"/>
        </w:rPr>
      </w:pPr>
    </w:p>
    <w:p w14:paraId="5DBAB967" w14:textId="5F6788F8" w:rsidR="004B7B1B" w:rsidRDefault="004B7B1B" w:rsidP="008F723C">
      <w:pPr>
        <w:jc w:val="both"/>
        <w:rPr>
          <w:sz w:val="20"/>
          <w:szCs w:val="20"/>
        </w:rPr>
      </w:pPr>
    </w:p>
    <w:p w14:paraId="21FE8928" w14:textId="3CE08F0F" w:rsidR="004B7B1B" w:rsidRDefault="004B7B1B" w:rsidP="008F723C">
      <w:pPr>
        <w:jc w:val="both"/>
        <w:rPr>
          <w:sz w:val="20"/>
          <w:szCs w:val="20"/>
        </w:rPr>
      </w:pPr>
    </w:p>
    <w:p w14:paraId="0DDD0FE3" w14:textId="74B73E58" w:rsidR="004B7B1B" w:rsidRDefault="004B7B1B" w:rsidP="008F723C">
      <w:pPr>
        <w:jc w:val="both"/>
        <w:rPr>
          <w:sz w:val="20"/>
          <w:szCs w:val="20"/>
        </w:rPr>
      </w:pPr>
    </w:p>
    <w:p w14:paraId="34DFAFBA" w14:textId="046552DB" w:rsidR="004B7B1B" w:rsidRDefault="004B7B1B" w:rsidP="008F723C">
      <w:pPr>
        <w:jc w:val="both"/>
        <w:rPr>
          <w:sz w:val="20"/>
          <w:szCs w:val="20"/>
        </w:rPr>
      </w:pPr>
    </w:p>
    <w:p w14:paraId="3E285EB2" w14:textId="2DC5A2EA" w:rsidR="004B7B1B" w:rsidRDefault="004B7B1B" w:rsidP="008F723C">
      <w:pPr>
        <w:jc w:val="both"/>
        <w:rPr>
          <w:sz w:val="20"/>
          <w:szCs w:val="20"/>
        </w:rPr>
      </w:pPr>
    </w:p>
    <w:p w14:paraId="1207B318" w14:textId="4C6E4927" w:rsidR="004B7B1B" w:rsidRDefault="004B7B1B" w:rsidP="008F723C">
      <w:pPr>
        <w:jc w:val="both"/>
        <w:rPr>
          <w:sz w:val="20"/>
          <w:szCs w:val="20"/>
        </w:rPr>
      </w:pPr>
    </w:p>
    <w:p w14:paraId="3DF9482B" w14:textId="1F525BC9" w:rsidR="004B7B1B" w:rsidRDefault="004B7B1B" w:rsidP="008F723C">
      <w:pPr>
        <w:jc w:val="both"/>
        <w:rPr>
          <w:sz w:val="20"/>
          <w:szCs w:val="20"/>
        </w:rPr>
      </w:pPr>
    </w:p>
    <w:p w14:paraId="3597F068" w14:textId="20EE9D13" w:rsidR="004B7B1B" w:rsidRDefault="004B7B1B" w:rsidP="008F723C">
      <w:pPr>
        <w:jc w:val="both"/>
        <w:rPr>
          <w:sz w:val="20"/>
          <w:szCs w:val="20"/>
        </w:rPr>
      </w:pPr>
    </w:p>
    <w:p w14:paraId="7D0CACD4" w14:textId="6A4F336E" w:rsidR="004B7B1B" w:rsidRDefault="004B7B1B" w:rsidP="008F723C">
      <w:pPr>
        <w:jc w:val="both"/>
        <w:rPr>
          <w:sz w:val="20"/>
          <w:szCs w:val="20"/>
        </w:rPr>
      </w:pPr>
    </w:p>
    <w:p w14:paraId="7B74EAE2" w14:textId="4F63DDD5" w:rsidR="004B7B1B" w:rsidRDefault="004B7B1B" w:rsidP="008F723C">
      <w:pPr>
        <w:jc w:val="both"/>
        <w:rPr>
          <w:sz w:val="20"/>
          <w:szCs w:val="20"/>
        </w:rPr>
      </w:pPr>
    </w:p>
    <w:p w14:paraId="4542066D" w14:textId="10FD5978" w:rsidR="004B7B1B" w:rsidRDefault="004B7B1B" w:rsidP="008F723C">
      <w:pPr>
        <w:jc w:val="both"/>
        <w:rPr>
          <w:sz w:val="20"/>
          <w:szCs w:val="20"/>
        </w:rPr>
      </w:pPr>
    </w:p>
    <w:p w14:paraId="625E0A36" w14:textId="77777777" w:rsidR="004B7B1B" w:rsidRPr="00347B7F" w:rsidRDefault="004B7B1B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2769FFEA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AC26A0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0CA83130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AC26A0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50650D74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</w:t>
            </w:r>
            <w:r w:rsidR="00257D8F">
              <w:rPr>
                <w:b/>
                <w:bCs/>
                <w:sz w:val="20"/>
                <w:szCs w:val="20"/>
              </w:rPr>
              <w:t>vrijednost (202</w:t>
            </w:r>
            <w:r w:rsidR="00AC26A0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4963952B" w:rsidR="00164C8C" w:rsidRPr="00676B80" w:rsidRDefault="00257D8F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AC26A0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12732E59" w:rsidR="00164C8C" w:rsidRPr="00676B80" w:rsidRDefault="00D94EE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2C83069A" w14:textId="67C5BC0F" w:rsidR="00164C8C" w:rsidRPr="00676B80" w:rsidRDefault="00D94EE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39A11EC8" w14:textId="27CC8057" w:rsidR="00164C8C" w:rsidRPr="00676B80" w:rsidRDefault="00D94EE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7526BA84" w14:textId="77E0EFC0" w:rsidR="00164C8C" w:rsidRPr="00676B80" w:rsidRDefault="004F75A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51061245" w:rsidR="00164C8C" w:rsidRPr="00676B80" w:rsidRDefault="004F75A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329A00A8" w14:textId="70F7C6BE" w:rsidR="00164C8C" w:rsidRPr="00676B80" w:rsidRDefault="004F75A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5917F0FD" w14:textId="6C905384" w:rsidR="00164C8C" w:rsidRPr="00676B80" w:rsidRDefault="004F75A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06851073" w14:textId="0B5AA23F" w:rsidR="00164C8C" w:rsidRPr="00676B80" w:rsidRDefault="004F75A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19D6D76A" w:rsidR="00164C8C" w:rsidRPr="00676B80" w:rsidRDefault="00257D8F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125" w:type="dxa"/>
          </w:tcPr>
          <w:p w14:paraId="46F0B6EC" w14:textId="67054AFB" w:rsidR="00164C8C" w:rsidRPr="00676B80" w:rsidRDefault="00D94EE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568421B4" w14:textId="511A7100" w:rsidR="00164C8C" w:rsidRPr="00676B80" w:rsidRDefault="00D94EE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260DDCBF" w14:textId="7E6DE377" w:rsidR="00164C8C" w:rsidRPr="00676B80" w:rsidRDefault="00D94EE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7CDA4381" w14:textId="58BC3D99" w:rsidR="00164C8C" w:rsidRPr="00676B80" w:rsidRDefault="00D94EE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7CEEDB8" w14:textId="024A0904" w:rsidR="00D13A5F" w:rsidRDefault="00D13A5F" w:rsidP="008F723C">
      <w:pPr>
        <w:jc w:val="both"/>
        <w:rPr>
          <w:b/>
          <w:bCs/>
          <w:color w:val="548DD4" w:themeColor="text2" w:themeTint="99"/>
          <w:sz w:val="22"/>
          <w:szCs w:val="22"/>
        </w:rPr>
      </w:pPr>
    </w:p>
    <w:p w14:paraId="1657CF04" w14:textId="3770A660" w:rsidR="00C74BAE" w:rsidRPr="0057400F" w:rsidRDefault="00C74BAE" w:rsidP="00C74BAE">
      <w:pPr>
        <w:spacing w:line="18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Zbog specifičnosti programa, različitih motoričkih teškoća i višestrukih oštećenja učenika Centar ne koristi. Učenicima potporu u nastavnom procesu uz učitelje pružaju njegovatelji, medicinske sestre, radni terapeut koji su zaposleni u Centru.</w:t>
      </w:r>
    </w:p>
    <w:p w14:paraId="6D48A110" w14:textId="77777777" w:rsidR="00C74BAE" w:rsidRPr="00D13A5F" w:rsidRDefault="00C74BAE" w:rsidP="008F723C">
      <w:pPr>
        <w:jc w:val="both"/>
        <w:rPr>
          <w:color w:val="548DD4" w:themeColor="text2" w:themeTint="99"/>
          <w:sz w:val="20"/>
          <w:szCs w:val="20"/>
        </w:rPr>
      </w:pPr>
    </w:p>
    <w:sectPr w:rsidR="00C74BAE" w:rsidRPr="00D13A5F" w:rsidSect="00A119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42D4" w14:textId="77777777" w:rsidR="009531EC" w:rsidRDefault="009531EC" w:rsidP="00BA72BA">
      <w:r>
        <w:separator/>
      </w:r>
    </w:p>
  </w:endnote>
  <w:endnote w:type="continuationSeparator" w:id="0">
    <w:p w14:paraId="79C0F62F" w14:textId="77777777" w:rsidR="009531EC" w:rsidRDefault="009531EC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98875"/>
      <w:docPartObj>
        <w:docPartGallery w:val="Page Numbers (Bottom of Page)"/>
        <w:docPartUnique/>
      </w:docPartObj>
    </w:sdtPr>
    <w:sdtEndPr/>
    <w:sdtContent>
      <w:p w14:paraId="6F059181" w14:textId="37962668" w:rsidR="00107AC0" w:rsidRDefault="00107AC0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C2EE9" w14:textId="77777777" w:rsidR="00107AC0" w:rsidRDefault="00107A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7B33" w14:textId="77777777" w:rsidR="009531EC" w:rsidRDefault="009531EC" w:rsidP="00BA72BA">
      <w:r>
        <w:separator/>
      </w:r>
    </w:p>
  </w:footnote>
  <w:footnote w:type="continuationSeparator" w:id="0">
    <w:p w14:paraId="6D17420F" w14:textId="77777777" w:rsidR="009531EC" w:rsidRDefault="009531EC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1BF0"/>
    <w:rsid w:val="000078B7"/>
    <w:rsid w:val="0001159B"/>
    <w:rsid w:val="00012905"/>
    <w:rsid w:val="0001602D"/>
    <w:rsid w:val="00030150"/>
    <w:rsid w:val="0003256A"/>
    <w:rsid w:val="00050AB0"/>
    <w:rsid w:val="00053688"/>
    <w:rsid w:val="00053BC2"/>
    <w:rsid w:val="000542B1"/>
    <w:rsid w:val="00054AC6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23C9"/>
    <w:rsid w:val="00093B4A"/>
    <w:rsid w:val="000A3F7F"/>
    <w:rsid w:val="000B24C3"/>
    <w:rsid w:val="000B27F0"/>
    <w:rsid w:val="000B784F"/>
    <w:rsid w:val="000C0123"/>
    <w:rsid w:val="000C0B24"/>
    <w:rsid w:val="000C3692"/>
    <w:rsid w:val="000C4EFF"/>
    <w:rsid w:val="000C5144"/>
    <w:rsid w:val="000C7032"/>
    <w:rsid w:val="000C70E5"/>
    <w:rsid w:val="000D5024"/>
    <w:rsid w:val="000F0AE9"/>
    <w:rsid w:val="000F2B00"/>
    <w:rsid w:val="000F5781"/>
    <w:rsid w:val="00101D61"/>
    <w:rsid w:val="00105CA8"/>
    <w:rsid w:val="00107AC0"/>
    <w:rsid w:val="001164A3"/>
    <w:rsid w:val="00116ACB"/>
    <w:rsid w:val="0012294A"/>
    <w:rsid w:val="0012644E"/>
    <w:rsid w:val="00127F0B"/>
    <w:rsid w:val="00130BE0"/>
    <w:rsid w:val="00135796"/>
    <w:rsid w:val="0014595E"/>
    <w:rsid w:val="00155E67"/>
    <w:rsid w:val="001634C7"/>
    <w:rsid w:val="00164C8C"/>
    <w:rsid w:val="00166DBF"/>
    <w:rsid w:val="00167400"/>
    <w:rsid w:val="00171946"/>
    <w:rsid w:val="00184817"/>
    <w:rsid w:val="00193CB5"/>
    <w:rsid w:val="00194560"/>
    <w:rsid w:val="0019590A"/>
    <w:rsid w:val="001A1C50"/>
    <w:rsid w:val="001A3AD7"/>
    <w:rsid w:val="001C3B23"/>
    <w:rsid w:val="001C6987"/>
    <w:rsid w:val="001D0D24"/>
    <w:rsid w:val="001E5022"/>
    <w:rsid w:val="001F771E"/>
    <w:rsid w:val="0022187D"/>
    <w:rsid w:val="002221E7"/>
    <w:rsid w:val="00226AF3"/>
    <w:rsid w:val="0023586D"/>
    <w:rsid w:val="00237629"/>
    <w:rsid w:val="0024472E"/>
    <w:rsid w:val="00250BD4"/>
    <w:rsid w:val="00257770"/>
    <w:rsid w:val="00257D8F"/>
    <w:rsid w:val="00260D37"/>
    <w:rsid w:val="00275C00"/>
    <w:rsid w:val="0028135B"/>
    <w:rsid w:val="00284D9F"/>
    <w:rsid w:val="00285F8D"/>
    <w:rsid w:val="00290DC5"/>
    <w:rsid w:val="00297CF4"/>
    <w:rsid w:val="002A08D6"/>
    <w:rsid w:val="002A6F58"/>
    <w:rsid w:val="002B0DC0"/>
    <w:rsid w:val="002B2940"/>
    <w:rsid w:val="002B2BA8"/>
    <w:rsid w:val="002C1A6F"/>
    <w:rsid w:val="002C2140"/>
    <w:rsid w:val="002C6E52"/>
    <w:rsid w:val="002C7FBD"/>
    <w:rsid w:val="002D0586"/>
    <w:rsid w:val="002D1D0C"/>
    <w:rsid w:val="002D4936"/>
    <w:rsid w:val="002E0475"/>
    <w:rsid w:val="002E42AB"/>
    <w:rsid w:val="002F4F28"/>
    <w:rsid w:val="002F7168"/>
    <w:rsid w:val="0031140A"/>
    <w:rsid w:val="0031502D"/>
    <w:rsid w:val="0032131F"/>
    <w:rsid w:val="0032276B"/>
    <w:rsid w:val="0033338F"/>
    <w:rsid w:val="00340070"/>
    <w:rsid w:val="00340131"/>
    <w:rsid w:val="00347B7F"/>
    <w:rsid w:val="0035158F"/>
    <w:rsid w:val="00356CE8"/>
    <w:rsid w:val="003627B4"/>
    <w:rsid w:val="003702F9"/>
    <w:rsid w:val="00370886"/>
    <w:rsid w:val="00374DB1"/>
    <w:rsid w:val="003969F1"/>
    <w:rsid w:val="003A4434"/>
    <w:rsid w:val="003D189A"/>
    <w:rsid w:val="003D4C82"/>
    <w:rsid w:val="003E4786"/>
    <w:rsid w:val="003F2280"/>
    <w:rsid w:val="003F63B9"/>
    <w:rsid w:val="00400190"/>
    <w:rsid w:val="00401B91"/>
    <w:rsid w:val="00411664"/>
    <w:rsid w:val="004139CB"/>
    <w:rsid w:val="004267D0"/>
    <w:rsid w:val="0042738D"/>
    <w:rsid w:val="0042744F"/>
    <w:rsid w:val="004320D1"/>
    <w:rsid w:val="00436297"/>
    <w:rsid w:val="004476B9"/>
    <w:rsid w:val="00450A9C"/>
    <w:rsid w:val="00451A45"/>
    <w:rsid w:val="00455BB2"/>
    <w:rsid w:val="00460E13"/>
    <w:rsid w:val="00461561"/>
    <w:rsid w:val="004615BC"/>
    <w:rsid w:val="00464CFF"/>
    <w:rsid w:val="00473656"/>
    <w:rsid w:val="00485843"/>
    <w:rsid w:val="00485B83"/>
    <w:rsid w:val="00495296"/>
    <w:rsid w:val="00495601"/>
    <w:rsid w:val="004A2942"/>
    <w:rsid w:val="004A415C"/>
    <w:rsid w:val="004B1F77"/>
    <w:rsid w:val="004B33F4"/>
    <w:rsid w:val="004B7B1B"/>
    <w:rsid w:val="004C035C"/>
    <w:rsid w:val="004C3B68"/>
    <w:rsid w:val="004C534D"/>
    <w:rsid w:val="004C61D1"/>
    <w:rsid w:val="004C6F3A"/>
    <w:rsid w:val="004D07AA"/>
    <w:rsid w:val="004D44C3"/>
    <w:rsid w:val="004E1B02"/>
    <w:rsid w:val="004F12D2"/>
    <w:rsid w:val="004F1865"/>
    <w:rsid w:val="004F30EF"/>
    <w:rsid w:val="004F4CF3"/>
    <w:rsid w:val="004F75A8"/>
    <w:rsid w:val="005026B1"/>
    <w:rsid w:val="00510A52"/>
    <w:rsid w:val="005172C2"/>
    <w:rsid w:val="00532AD4"/>
    <w:rsid w:val="00542A66"/>
    <w:rsid w:val="005519D1"/>
    <w:rsid w:val="00553DBE"/>
    <w:rsid w:val="00553ED5"/>
    <w:rsid w:val="00557365"/>
    <w:rsid w:val="00561C2F"/>
    <w:rsid w:val="005625D7"/>
    <w:rsid w:val="00564343"/>
    <w:rsid w:val="0056435D"/>
    <w:rsid w:val="005654FD"/>
    <w:rsid w:val="00565AA8"/>
    <w:rsid w:val="0057400F"/>
    <w:rsid w:val="00584B31"/>
    <w:rsid w:val="00590252"/>
    <w:rsid w:val="00592657"/>
    <w:rsid w:val="005A66DE"/>
    <w:rsid w:val="00600C52"/>
    <w:rsid w:val="00606D49"/>
    <w:rsid w:val="00607709"/>
    <w:rsid w:val="00624AD4"/>
    <w:rsid w:val="00633DC0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82E"/>
    <w:rsid w:val="006B7C62"/>
    <w:rsid w:val="006C3066"/>
    <w:rsid w:val="006D1D46"/>
    <w:rsid w:val="006D41F1"/>
    <w:rsid w:val="006E0EA1"/>
    <w:rsid w:val="006F00CD"/>
    <w:rsid w:val="006F0533"/>
    <w:rsid w:val="006F07D0"/>
    <w:rsid w:val="006F23B9"/>
    <w:rsid w:val="0070283F"/>
    <w:rsid w:val="00703729"/>
    <w:rsid w:val="007046EA"/>
    <w:rsid w:val="007058AA"/>
    <w:rsid w:val="00706A52"/>
    <w:rsid w:val="00714092"/>
    <w:rsid w:val="007217A7"/>
    <w:rsid w:val="007346ED"/>
    <w:rsid w:val="007359A5"/>
    <w:rsid w:val="0074256B"/>
    <w:rsid w:val="007428D3"/>
    <w:rsid w:val="00742ABB"/>
    <w:rsid w:val="00746174"/>
    <w:rsid w:val="0074697F"/>
    <w:rsid w:val="00751167"/>
    <w:rsid w:val="0075135F"/>
    <w:rsid w:val="007540D9"/>
    <w:rsid w:val="00762972"/>
    <w:rsid w:val="00770C34"/>
    <w:rsid w:val="00770D5D"/>
    <w:rsid w:val="00773E4B"/>
    <w:rsid w:val="00773E6C"/>
    <w:rsid w:val="00777EDB"/>
    <w:rsid w:val="007804E7"/>
    <w:rsid w:val="00784F02"/>
    <w:rsid w:val="00785763"/>
    <w:rsid w:val="00786CB0"/>
    <w:rsid w:val="00793932"/>
    <w:rsid w:val="0079694D"/>
    <w:rsid w:val="007A0EBD"/>
    <w:rsid w:val="007B0374"/>
    <w:rsid w:val="007C2CA3"/>
    <w:rsid w:val="007D0605"/>
    <w:rsid w:val="007D11CA"/>
    <w:rsid w:val="007E0936"/>
    <w:rsid w:val="007E4D93"/>
    <w:rsid w:val="007E5227"/>
    <w:rsid w:val="007F46DE"/>
    <w:rsid w:val="008044A7"/>
    <w:rsid w:val="00804C8D"/>
    <w:rsid w:val="00810691"/>
    <w:rsid w:val="00816E77"/>
    <w:rsid w:val="00816F37"/>
    <w:rsid w:val="00822918"/>
    <w:rsid w:val="0082675B"/>
    <w:rsid w:val="00832192"/>
    <w:rsid w:val="008323C2"/>
    <w:rsid w:val="00833EC0"/>
    <w:rsid w:val="008632EC"/>
    <w:rsid w:val="00870E82"/>
    <w:rsid w:val="00891B27"/>
    <w:rsid w:val="008A07E1"/>
    <w:rsid w:val="008A6EC4"/>
    <w:rsid w:val="008B01DE"/>
    <w:rsid w:val="008B67EF"/>
    <w:rsid w:val="008C3A2F"/>
    <w:rsid w:val="008D0FAA"/>
    <w:rsid w:val="008D3EAB"/>
    <w:rsid w:val="008E1807"/>
    <w:rsid w:val="008E79AA"/>
    <w:rsid w:val="008F7186"/>
    <w:rsid w:val="008F723C"/>
    <w:rsid w:val="008F7E65"/>
    <w:rsid w:val="00900BA5"/>
    <w:rsid w:val="00901753"/>
    <w:rsid w:val="00902BB9"/>
    <w:rsid w:val="00903D73"/>
    <w:rsid w:val="00906CCD"/>
    <w:rsid w:val="00910885"/>
    <w:rsid w:val="00913064"/>
    <w:rsid w:val="00921F6F"/>
    <w:rsid w:val="009221E4"/>
    <w:rsid w:val="00924841"/>
    <w:rsid w:val="0092779F"/>
    <w:rsid w:val="00936312"/>
    <w:rsid w:val="0094154C"/>
    <w:rsid w:val="0094210B"/>
    <w:rsid w:val="009445BE"/>
    <w:rsid w:val="00946A9F"/>
    <w:rsid w:val="009516AC"/>
    <w:rsid w:val="009531EC"/>
    <w:rsid w:val="00957CEE"/>
    <w:rsid w:val="00963213"/>
    <w:rsid w:val="00965906"/>
    <w:rsid w:val="00965CF6"/>
    <w:rsid w:val="00980EDE"/>
    <w:rsid w:val="009A12A3"/>
    <w:rsid w:val="009A3284"/>
    <w:rsid w:val="009A631D"/>
    <w:rsid w:val="009B1758"/>
    <w:rsid w:val="009B1BE8"/>
    <w:rsid w:val="009B78F2"/>
    <w:rsid w:val="009C6CBA"/>
    <w:rsid w:val="009C6D0F"/>
    <w:rsid w:val="009C74AB"/>
    <w:rsid w:val="009D794F"/>
    <w:rsid w:val="009E350E"/>
    <w:rsid w:val="009E583F"/>
    <w:rsid w:val="009E59BF"/>
    <w:rsid w:val="009E6B6C"/>
    <w:rsid w:val="009E6D2E"/>
    <w:rsid w:val="009F61FD"/>
    <w:rsid w:val="009F77C7"/>
    <w:rsid w:val="00A1173C"/>
    <w:rsid w:val="00A119BD"/>
    <w:rsid w:val="00A13A1E"/>
    <w:rsid w:val="00A2070D"/>
    <w:rsid w:val="00A20BC4"/>
    <w:rsid w:val="00A21818"/>
    <w:rsid w:val="00A2232D"/>
    <w:rsid w:val="00A23360"/>
    <w:rsid w:val="00A25309"/>
    <w:rsid w:val="00A25CAC"/>
    <w:rsid w:val="00A31FE8"/>
    <w:rsid w:val="00A33376"/>
    <w:rsid w:val="00A3568F"/>
    <w:rsid w:val="00A379A3"/>
    <w:rsid w:val="00A44967"/>
    <w:rsid w:val="00A52286"/>
    <w:rsid w:val="00A56DE4"/>
    <w:rsid w:val="00A57090"/>
    <w:rsid w:val="00A577D3"/>
    <w:rsid w:val="00A64F4D"/>
    <w:rsid w:val="00A73999"/>
    <w:rsid w:val="00A74101"/>
    <w:rsid w:val="00A76072"/>
    <w:rsid w:val="00A80AC0"/>
    <w:rsid w:val="00A94C56"/>
    <w:rsid w:val="00AA3861"/>
    <w:rsid w:val="00AA4745"/>
    <w:rsid w:val="00AA7A54"/>
    <w:rsid w:val="00AB4234"/>
    <w:rsid w:val="00AC26A0"/>
    <w:rsid w:val="00AC3827"/>
    <w:rsid w:val="00AC7576"/>
    <w:rsid w:val="00AD37C7"/>
    <w:rsid w:val="00AD5187"/>
    <w:rsid w:val="00AE067A"/>
    <w:rsid w:val="00AE2D6D"/>
    <w:rsid w:val="00AF3840"/>
    <w:rsid w:val="00AF4273"/>
    <w:rsid w:val="00B05C92"/>
    <w:rsid w:val="00B13D8F"/>
    <w:rsid w:val="00B16A5A"/>
    <w:rsid w:val="00B16DDA"/>
    <w:rsid w:val="00B26EB4"/>
    <w:rsid w:val="00B30381"/>
    <w:rsid w:val="00B32F2C"/>
    <w:rsid w:val="00B347B8"/>
    <w:rsid w:val="00B50219"/>
    <w:rsid w:val="00B53123"/>
    <w:rsid w:val="00B54225"/>
    <w:rsid w:val="00B5717B"/>
    <w:rsid w:val="00B631D8"/>
    <w:rsid w:val="00B8137D"/>
    <w:rsid w:val="00B8269F"/>
    <w:rsid w:val="00B82980"/>
    <w:rsid w:val="00B90302"/>
    <w:rsid w:val="00B951F7"/>
    <w:rsid w:val="00BA72BA"/>
    <w:rsid w:val="00BC656A"/>
    <w:rsid w:val="00BC7F21"/>
    <w:rsid w:val="00BF071F"/>
    <w:rsid w:val="00BF32D3"/>
    <w:rsid w:val="00C1157C"/>
    <w:rsid w:val="00C24A6A"/>
    <w:rsid w:val="00C2550F"/>
    <w:rsid w:val="00C34F06"/>
    <w:rsid w:val="00C5092F"/>
    <w:rsid w:val="00C51940"/>
    <w:rsid w:val="00C52B2D"/>
    <w:rsid w:val="00C55465"/>
    <w:rsid w:val="00C570CD"/>
    <w:rsid w:val="00C63B88"/>
    <w:rsid w:val="00C66951"/>
    <w:rsid w:val="00C66E7D"/>
    <w:rsid w:val="00C67B83"/>
    <w:rsid w:val="00C71940"/>
    <w:rsid w:val="00C74BAE"/>
    <w:rsid w:val="00C772A8"/>
    <w:rsid w:val="00C777B5"/>
    <w:rsid w:val="00C82330"/>
    <w:rsid w:val="00C835E3"/>
    <w:rsid w:val="00C864F0"/>
    <w:rsid w:val="00C91521"/>
    <w:rsid w:val="00C91DC7"/>
    <w:rsid w:val="00CB1B2B"/>
    <w:rsid w:val="00CB5937"/>
    <w:rsid w:val="00CC161C"/>
    <w:rsid w:val="00CC31D9"/>
    <w:rsid w:val="00CC421C"/>
    <w:rsid w:val="00CD029B"/>
    <w:rsid w:val="00CD29AE"/>
    <w:rsid w:val="00CE51F2"/>
    <w:rsid w:val="00CF0604"/>
    <w:rsid w:val="00CF0B6B"/>
    <w:rsid w:val="00D10E5E"/>
    <w:rsid w:val="00D13A5F"/>
    <w:rsid w:val="00D14092"/>
    <w:rsid w:val="00D247CE"/>
    <w:rsid w:val="00D25994"/>
    <w:rsid w:val="00D26023"/>
    <w:rsid w:val="00D31E59"/>
    <w:rsid w:val="00D33742"/>
    <w:rsid w:val="00D37756"/>
    <w:rsid w:val="00D41C08"/>
    <w:rsid w:val="00D45939"/>
    <w:rsid w:val="00D5094F"/>
    <w:rsid w:val="00D520A0"/>
    <w:rsid w:val="00D62B30"/>
    <w:rsid w:val="00D65C0F"/>
    <w:rsid w:val="00D81E60"/>
    <w:rsid w:val="00D83881"/>
    <w:rsid w:val="00D94EED"/>
    <w:rsid w:val="00DA0540"/>
    <w:rsid w:val="00DA255B"/>
    <w:rsid w:val="00DB6550"/>
    <w:rsid w:val="00DC19AC"/>
    <w:rsid w:val="00DC728C"/>
    <w:rsid w:val="00DD719C"/>
    <w:rsid w:val="00DD789B"/>
    <w:rsid w:val="00DE2F41"/>
    <w:rsid w:val="00DE7708"/>
    <w:rsid w:val="00DF0B7B"/>
    <w:rsid w:val="00DF3E0F"/>
    <w:rsid w:val="00DF4CED"/>
    <w:rsid w:val="00DF63E4"/>
    <w:rsid w:val="00E00894"/>
    <w:rsid w:val="00E048E0"/>
    <w:rsid w:val="00E04FDD"/>
    <w:rsid w:val="00E12D85"/>
    <w:rsid w:val="00E16ED5"/>
    <w:rsid w:val="00E23337"/>
    <w:rsid w:val="00E278A1"/>
    <w:rsid w:val="00E30DF9"/>
    <w:rsid w:val="00E3166F"/>
    <w:rsid w:val="00E34A58"/>
    <w:rsid w:val="00E56E47"/>
    <w:rsid w:val="00E57DE1"/>
    <w:rsid w:val="00E63121"/>
    <w:rsid w:val="00E6506B"/>
    <w:rsid w:val="00E65EE0"/>
    <w:rsid w:val="00E67634"/>
    <w:rsid w:val="00E746B3"/>
    <w:rsid w:val="00E76FDD"/>
    <w:rsid w:val="00E86820"/>
    <w:rsid w:val="00E876B2"/>
    <w:rsid w:val="00E92D5D"/>
    <w:rsid w:val="00EA101A"/>
    <w:rsid w:val="00EA1552"/>
    <w:rsid w:val="00EA2D77"/>
    <w:rsid w:val="00EC3B65"/>
    <w:rsid w:val="00ED2E25"/>
    <w:rsid w:val="00EE2B47"/>
    <w:rsid w:val="00EE6CDC"/>
    <w:rsid w:val="00EF1B03"/>
    <w:rsid w:val="00EF4147"/>
    <w:rsid w:val="00F07DBE"/>
    <w:rsid w:val="00F1787F"/>
    <w:rsid w:val="00F211D0"/>
    <w:rsid w:val="00F2199A"/>
    <w:rsid w:val="00F25CCD"/>
    <w:rsid w:val="00F26FE4"/>
    <w:rsid w:val="00F3060E"/>
    <w:rsid w:val="00F37A4E"/>
    <w:rsid w:val="00F411E7"/>
    <w:rsid w:val="00F61D68"/>
    <w:rsid w:val="00F64674"/>
    <w:rsid w:val="00F80CEB"/>
    <w:rsid w:val="00F83CB8"/>
    <w:rsid w:val="00F959F2"/>
    <w:rsid w:val="00FA0150"/>
    <w:rsid w:val="00FA7544"/>
    <w:rsid w:val="00FD1274"/>
    <w:rsid w:val="00FD539E"/>
    <w:rsid w:val="00FD58BA"/>
    <w:rsid w:val="00FE0BD5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55EA-099F-4B93-BF8D-EA582CB9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3499</Words>
  <Characters>19949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User</cp:lastModifiedBy>
  <cp:revision>213</cp:revision>
  <cp:lastPrinted>2021-09-23T11:46:00Z</cp:lastPrinted>
  <dcterms:created xsi:type="dcterms:W3CDTF">2021-10-09T12:13:00Z</dcterms:created>
  <dcterms:modified xsi:type="dcterms:W3CDTF">2025-11-10T08:39:00Z</dcterms:modified>
</cp:coreProperties>
</file>